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427B9" w14:textId="0880D463" w:rsidR="00DE75BF" w:rsidRDefault="00DE75BF" w:rsidP="00DE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Call for Papers</w:t>
      </w:r>
    </w:p>
    <w:p w14:paraId="5B8FDE15" w14:textId="77777777" w:rsidR="00DE75BF" w:rsidRDefault="00DE75BF" w:rsidP="0036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14:paraId="01276DD4" w14:textId="77777777" w:rsidR="00DE75BF" w:rsidRDefault="00DE75BF" w:rsidP="0036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p>
    <w:p w14:paraId="6D6F1CC2" w14:textId="51609455" w:rsidR="002F58B2" w:rsidRPr="002F58B2" w:rsidRDefault="002F58B2" w:rsidP="0036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2F58B2">
        <w:rPr>
          <w:rFonts w:ascii="Times New Roman" w:eastAsia="Times New Roman" w:hAnsi="Times New Roman" w:cs="Times New Roman"/>
          <w:sz w:val="24"/>
          <w:szCs w:val="24"/>
          <w:lang w:eastAsia="en-GB"/>
        </w:rPr>
        <w:t>Karolina Lendák-Kabók and Hanna Lindberg (eds.), “Social welfare and minority rights in Europe, 1850s-present.”</w:t>
      </w:r>
    </w:p>
    <w:p w14:paraId="57E0EE18" w14:textId="77777777" w:rsidR="004815BC" w:rsidRDefault="004815BC" w:rsidP="0036377A">
      <w:pPr>
        <w:spacing w:after="120" w:line="240" w:lineRule="auto"/>
        <w:jc w:val="both"/>
        <w:rPr>
          <w:rFonts w:ascii="Times New Roman" w:eastAsia="Calibri" w:hAnsi="Times New Roman" w:cs="Times New Roman"/>
          <w:sz w:val="24"/>
          <w:szCs w:val="24"/>
          <w:lang w:val="sr-Latn-RS"/>
        </w:rPr>
      </w:pPr>
    </w:p>
    <w:p w14:paraId="02E5614A" w14:textId="77777777" w:rsidR="004815BC" w:rsidRDefault="004815BC" w:rsidP="0036377A">
      <w:pPr>
        <w:spacing w:after="120" w:line="240" w:lineRule="auto"/>
        <w:jc w:val="both"/>
        <w:rPr>
          <w:rFonts w:ascii="Times New Roman" w:eastAsia="Calibri" w:hAnsi="Times New Roman" w:cs="Times New Roman"/>
          <w:sz w:val="24"/>
          <w:szCs w:val="24"/>
          <w:lang w:val="sr-Latn-RS"/>
        </w:rPr>
      </w:pPr>
    </w:p>
    <w:p w14:paraId="24B0061B" w14:textId="1B6295F1" w:rsidR="00781296" w:rsidRDefault="00646089" w:rsidP="0036377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nation-states formed and systems of welfare developed throughout Europe in the 19</w:t>
      </w:r>
      <w:r w:rsidRPr="0064608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20</w:t>
      </w:r>
      <w:r w:rsidRPr="00646089">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and 21</w:t>
      </w:r>
      <w:r w:rsidRPr="0064608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centuries, principles of heterogeneity and equality often prevailed. </w:t>
      </w:r>
      <w:r w:rsidR="00892FAE">
        <w:rPr>
          <w:rFonts w:ascii="Times New Roman" w:eastAsia="Calibri" w:hAnsi="Times New Roman" w:cs="Times New Roman"/>
          <w:sz w:val="24"/>
          <w:szCs w:val="24"/>
        </w:rPr>
        <w:t>Through social welfare, socially and economically disadvantaged groups were aided, h</w:t>
      </w:r>
      <w:r w:rsidR="00D140BE">
        <w:rPr>
          <w:rFonts w:ascii="Times New Roman" w:eastAsia="Calibri" w:hAnsi="Times New Roman" w:cs="Times New Roman"/>
          <w:sz w:val="24"/>
          <w:szCs w:val="24"/>
        </w:rPr>
        <w:t>owever, a</w:t>
      </w:r>
      <w:r>
        <w:rPr>
          <w:rFonts w:ascii="Times New Roman" w:eastAsia="Calibri" w:hAnsi="Times New Roman" w:cs="Times New Roman"/>
          <w:sz w:val="24"/>
          <w:szCs w:val="24"/>
        </w:rPr>
        <w:t xml:space="preserve">s </w:t>
      </w:r>
      <w:r w:rsidR="005D4F0A">
        <w:rPr>
          <w:rFonts w:ascii="Times New Roman" w:eastAsia="Calibri" w:hAnsi="Times New Roman" w:cs="Times New Roman"/>
          <w:sz w:val="24"/>
          <w:szCs w:val="24"/>
        </w:rPr>
        <w:t xml:space="preserve">several scholars of the humanities and social sciences have demonstrated </w:t>
      </w:r>
      <w:r w:rsidR="006E68DA">
        <w:rPr>
          <w:rFonts w:ascii="Times New Roman" w:eastAsia="Calibri" w:hAnsi="Times New Roman" w:cs="Times New Roman"/>
          <w:sz w:val="24"/>
          <w:szCs w:val="24"/>
        </w:rPr>
        <w:t>the distribution of welfare also created</w:t>
      </w:r>
      <w:r w:rsidR="005D4F0A">
        <w:rPr>
          <w:rFonts w:ascii="Times New Roman" w:eastAsia="Calibri" w:hAnsi="Times New Roman" w:cs="Times New Roman"/>
          <w:sz w:val="24"/>
          <w:szCs w:val="24"/>
        </w:rPr>
        <w:t xml:space="preserve"> social exclusion on the basis of class, gender, ethnicity, and dis/ability</w:t>
      </w:r>
      <w:r w:rsidR="006E68DA">
        <w:rPr>
          <w:rFonts w:ascii="Times New Roman" w:eastAsia="Calibri" w:hAnsi="Times New Roman" w:cs="Times New Roman"/>
          <w:sz w:val="24"/>
          <w:szCs w:val="24"/>
        </w:rPr>
        <w:t>, favouring certain segments of society or human characteristics.</w:t>
      </w:r>
      <w:r w:rsidR="0057566A">
        <w:rPr>
          <w:rStyle w:val="Fotnotsreferens"/>
          <w:rFonts w:ascii="Times New Roman" w:eastAsia="Calibri" w:hAnsi="Times New Roman" w:cs="Times New Roman"/>
          <w:sz w:val="24"/>
          <w:szCs w:val="24"/>
        </w:rPr>
        <w:footnoteReference w:id="1"/>
      </w:r>
      <w:r w:rsidR="00856AAC">
        <w:rPr>
          <w:rFonts w:ascii="Times New Roman" w:eastAsia="Calibri" w:hAnsi="Times New Roman" w:cs="Times New Roman"/>
          <w:sz w:val="24"/>
          <w:szCs w:val="24"/>
        </w:rPr>
        <w:t xml:space="preserve"> </w:t>
      </w:r>
      <w:r w:rsidR="005122B2">
        <w:rPr>
          <w:rFonts w:ascii="Times New Roman" w:eastAsia="Calibri" w:hAnsi="Times New Roman" w:cs="Times New Roman"/>
          <w:sz w:val="24"/>
          <w:szCs w:val="24"/>
        </w:rPr>
        <w:t xml:space="preserve">In some countries ethnicity and language </w:t>
      </w:r>
      <w:r w:rsidR="005E73C2">
        <w:rPr>
          <w:rFonts w:ascii="Times New Roman" w:eastAsia="Calibri" w:hAnsi="Times New Roman" w:cs="Times New Roman"/>
          <w:sz w:val="24"/>
          <w:szCs w:val="24"/>
        </w:rPr>
        <w:t>was the foundation for the structure of social welfare, with different welfare providers for different ethno-linguistics groups.</w:t>
      </w:r>
      <w:r w:rsidR="00725C39">
        <w:rPr>
          <w:rStyle w:val="Fotnotsreferens"/>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w:t>
      </w:r>
      <w:r w:rsidR="006E68DA">
        <w:rPr>
          <w:rFonts w:ascii="Times New Roman" w:eastAsia="Calibri" w:hAnsi="Times New Roman" w:cs="Times New Roman"/>
          <w:sz w:val="24"/>
          <w:szCs w:val="24"/>
        </w:rPr>
        <w:t xml:space="preserve">In this proposal we </w:t>
      </w:r>
      <w:r w:rsidR="00475570">
        <w:rPr>
          <w:rFonts w:ascii="Times New Roman" w:eastAsia="Calibri" w:hAnsi="Times New Roman" w:cs="Times New Roman"/>
          <w:sz w:val="24"/>
          <w:szCs w:val="24"/>
        </w:rPr>
        <w:t>study</w:t>
      </w:r>
      <w:r w:rsidR="006E68DA">
        <w:rPr>
          <w:rFonts w:ascii="Times New Roman" w:eastAsia="Calibri" w:hAnsi="Times New Roman" w:cs="Times New Roman"/>
          <w:sz w:val="24"/>
          <w:szCs w:val="24"/>
        </w:rPr>
        <w:t xml:space="preserve"> </w:t>
      </w:r>
      <w:r w:rsidR="00475570">
        <w:rPr>
          <w:rFonts w:ascii="Times New Roman" w:eastAsia="Calibri" w:hAnsi="Times New Roman" w:cs="Times New Roman"/>
          <w:sz w:val="24"/>
          <w:szCs w:val="24"/>
        </w:rPr>
        <w:t xml:space="preserve">the development of social welfare </w:t>
      </w:r>
      <w:r w:rsidR="00F829F7">
        <w:rPr>
          <w:rFonts w:ascii="Times New Roman" w:eastAsia="Calibri" w:hAnsi="Times New Roman" w:cs="Times New Roman"/>
          <w:sz w:val="24"/>
          <w:szCs w:val="24"/>
        </w:rPr>
        <w:t xml:space="preserve">in Europe </w:t>
      </w:r>
      <w:r w:rsidR="00475570">
        <w:rPr>
          <w:rFonts w:ascii="Times New Roman" w:eastAsia="Calibri" w:hAnsi="Times New Roman" w:cs="Times New Roman"/>
          <w:sz w:val="24"/>
          <w:szCs w:val="24"/>
        </w:rPr>
        <w:t>by focusing on</w:t>
      </w:r>
      <w:r w:rsidR="006E68DA">
        <w:rPr>
          <w:rFonts w:ascii="Times New Roman" w:eastAsia="Calibri" w:hAnsi="Times New Roman" w:cs="Times New Roman"/>
          <w:sz w:val="24"/>
          <w:szCs w:val="24"/>
        </w:rPr>
        <w:t xml:space="preserve"> sub-state ethnic minorities, who</w:t>
      </w:r>
      <w:r w:rsidR="006E68DA" w:rsidRPr="00B54AA1">
        <w:t xml:space="preserve"> </w:t>
      </w:r>
      <w:r w:rsidR="006E68DA">
        <w:rPr>
          <w:rFonts w:ascii="Times New Roman" w:eastAsia="Calibri" w:hAnsi="Times New Roman" w:cs="Times New Roman"/>
          <w:sz w:val="24"/>
          <w:szCs w:val="24"/>
        </w:rPr>
        <w:t>d</w:t>
      </w:r>
      <w:r w:rsidR="006E68DA" w:rsidRPr="00B54AA1">
        <w:rPr>
          <w:rFonts w:ascii="Times New Roman" w:eastAsia="Calibri" w:hAnsi="Times New Roman" w:cs="Times New Roman"/>
          <w:sz w:val="24"/>
          <w:szCs w:val="24"/>
        </w:rPr>
        <w:t xml:space="preserve">ue to change of borders and political systems in the past, become minorities, </w:t>
      </w:r>
      <w:r w:rsidR="00F829F7">
        <w:rPr>
          <w:rFonts w:ascii="Times New Roman" w:eastAsia="Calibri" w:hAnsi="Times New Roman" w:cs="Times New Roman"/>
          <w:sz w:val="24"/>
          <w:szCs w:val="24"/>
        </w:rPr>
        <w:t xml:space="preserve">resulting </w:t>
      </w:r>
      <w:r w:rsidR="006E68DA" w:rsidRPr="00B54AA1">
        <w:rPr>
          <w:rFonts w:ascii="Times New Roman" w:eastAsia="Calibri" w:hAnsi="Times New Roman" w:cs="Times New Roman"/>
          <w:sz w:val="24"/>
          <w:szCs w:val="24"/>
        </w:rPr>
        <w:t xml:space="preserve">in multifaceted changes to those communities. </w:t>
      </w:r>
      <w:r w:rsidR="00B54AA1" w:rsidRPr="00B54AA1">
        <w:rPr>
          <w:rFonts w:ascii="Times New Roman" w:eastAsia="Calibri" w:hAnsi="Times New Roman" w:cs="Times New Roman"/>
          <w:sz w:val="24"/>
          <w:szCs w:val="24"/>
        </w:rPr>
        <w:t>Even though research has demonstrated that ethnicity has immense political implications, resulting in solidarity but also in division,</w:t>
      </w:r>
      <w:r w:rsidR="00B54AA1">
        <w:rPr>
          <w:rStyle w:val="Fotnotsreferens"/>
          <w:rFonts w:ascii="Times New Roman" w:eastAsia="Calibri" w:hAnsi="Times New Roman" w:cs="Times New Roman"/>
          <w:sz w:val="24"/>
          <w:szCs w:val="24"/>
        </w:rPr>
        <w:footnoteReference w:id="3"/>
      </w:r>
      <w:r w:rsidR="00B54AA1" w:rsidRPr="00B54AA1">
        <w:rPr>
          <w:rFonts w:ascii="Times New Roman" w:eastAsia="Calibri" w:hAnsi="Times New Roman" w:cs="Times New Roman"/>
          <w:sz w:val="24"/>
          <w:szCs w:val="24"/>
        </w:rPr>
        <w:t xml:space="preserve"> it is taken to be irreducible to the political and should be addressed continually in academic discourse.</w:t>
      </w:r>
      <w:r w:rsidR="00B54AA1">
        <w:rPr>
          <w:rFonts w:ascii="Times New Roman" w:eastAsia="Calibri" w:hAnsi="Times New Roman" w:cs="Times New Roman"/>
          <w:sz w:val="24"/>
          <w:szCs w:val="24"/>
        </w:rPr>
        <w:t xml:space="preserve"> </w:t>
      </w:r>
      <w:r w:rsidR="002705F1">
        <w:rPr>
          <w:rFonts w:ascii="Times New Roman" w:eastAsia="Calibri" w:hAnsi="Times New Roman" w:cs="Times New Roman"/>
          <w:sz w:val="24"/>
          <w:szCs w:val="24"/>
        </w:rPr>
        <w:t xml:space="preserve"> </w:t>
      </w:r>
    </w:p>
    <w:p w14:paraId="2D3A6C60" w14:textId="77777777" w:rsidR="00781296" w:rsidRDefault="00781296" w:rsidP="0036377A">
      <w:pPr>
        <w:spacing w:line="240" w:lineRule="auto"/>
        <w:jc w:val="both"/>
        <w:rPr>
          <w:rFonts w:ascii="Times New Roman" w:eastAsia="Calibri" w:hAnsi="Times New Roman" w:cs="Times New Roman"/>
          <w:sz w:val="24"/>
          <w:szCs w:val="24"/>
        </w:rPr>
      </w:pPr>
    </w:p>
    <w:p w14:paraId="69460A52" w14:textId="1ACF3CF7" w:rsidR="00DE75BF" w:rsidRDefault="00AE4E95" w:rsidP="0036377A">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see an importance to focus on ethnic minorities in studies of both the past and the present. </w:t>
      </w:r>
      <w:r w:rsidR="00DE75BF" w:rsidRPr="00DE75BF">
        <w:rPr>
          <w:rFonts w:ascii="Times New Roman" w:eastAsia="Calibri" w:hAnsi="Times New Roman" w:cs="Times New Roman"/>
          <w:sz w:val="24"/>
          <w:szCs w:val="24"/>
        </w:rPr>
        <w:t xml:space="preserve">The protection and promotion of the richness and diversity of Europe's cultural heritage are today among the fundamental objectives of the Council of Europe. </w:t>
      </w:r>
      <w:r w:rsidR="00DE75BF" w:rsidRPr="0036377A">
        <w:rPr>
          <w:rFonts w:ascii="Times New Roman" w:eastAsia="Calibri" w:hAnsi="Times New Roman" w:cs="Times New Roman"/>
          <w:sz w:val="24"/>
          <w:szCs w:val="24"/>
        </w:rPr>
        <w:t>Although the European Commission, through documents such as the European Charter for Regional or Minority Languages ​​and the Framework Convention for the Protection of National Minorities, advocates the preservation of identity differences, little attention is paid to the social integration of minorities</w:t>
      </w:r>
      <w:r w:rsidR="00EC4D81" w:rsidRPr="0036377A">
        <w:rPr>
          <w:rFonts w:ascii="Times New Roman" w:eastAsia="Calibri" w:hAnsi="Times New Roman" w:cs="Times New Roman"/>
          <w:sz w:val="24"/>
          <w:szCs w:val="24"/>
        </w:rPr>
        <w:t xml:space="preserve"> to </w:t>
      </w:r>
      <w:r w:rsidR="00DE75BF" w:rsidRPr="0036377A">
        <w:rPr>
          <w:rFonts w:ascii="Times New Roman" w:eastAsia="Calibri" w:hAnsi="Times New Roman" w:cs="Times New Roman"/>
          <w:sz w:val="24"/>
          <w:szCs w:val="24"/>
        </w:rPr>
        <w:t>a larger, relatively harmonious social whole, while preserving the identity characteristics of minority groups</w:t>
      </w:r>
      <w:r w:rsidR="00DE75BF" w:rsidRPr="00BC6FE1">
        <w:rPr>
          <w:rFonts w:ascii="Times New Roman" w:eastAsia="Calibri" w:hAnsi="Times New Roman" w:cs="Times New Roman"/>
          <w:sz w:val="24"/>
          <w:szCs w:val="24"/>
        </w:rPr>
        <w:t>.</w:t>
      </w:r>
      <w:r w:rsidR="00E74F1A" w:rsidRPr="00BC6FE1">
        <w:t xml:space="preserve"> </w:t>
      </w:r>
      <w:r w:rsidR="00E74F1A" w:rsidRPr="00BC6FE1">
        <w:rPr>
          <w:rFonts w:ascii="Times New Roman" w:eastAsia="Calibri" w:hAnsi="Times New Roman" w:cs="Times New Roman"/>
          <w:sz w:val="24"/>
          <w:szCs w:val="24"/>
        </w:rPr>
        <w:t xml:space="preserve">Although </w:t>
      </w:r>
      <w:r w:rsidR="00B90EB8" w:rsidRPr="00B91A28">
        <w:rPr>
          <w:rFonts w:ascii="Times New Roman" w:eastAsia="Calibri" w:hAnsi="Times New Roman" w:cs="Times New Roman"/>
          <w:sz w:val="24"/>
          <w:szCs w:val="24"/>
        </w:rPr>
        <w:t>preserving ethno-cultural</w:t>
      </w:r>
      <w:r w:rsidR="00B90EB8" w:rsidRPr="00BC6FE1">
        <w:rPr>
          <w:rFonts w:ascii="Times New Roman" w:eastAsia="Calibri" w:hAnsi="Times New Roman" w:cs="Times New Roman"/>
          <w:sz w:val="24"/>
          <w:szCs w:val="24"/>
        </w:rPr>
        <w:t xml:space="preserve"> </w:t>
      </w:r>
      <w:r w:rsidR="00E74F1A" w:rsidRPr="00BC6FE1">
        <w:rPr>
          <w:rFonts w:ascii="Times New Roman" w:eastAsia="Calibri" w:hAnsi="Times New Roman" w:cs="Times New Roman"/>
          <w:sz w:val="24"/>
          <w:szCs w:val="24"/>
        </w:rPr>
        <w:t>diversity remains entrenched as one of the key values of the European project, the EU has relatively limited competence to manage this issue</w:t>
      </w:r>
      <w:r w:rsidR="00E74F1A" w:rsidRPr="00BC6FE1">
        <w:rPr>
          <w:rStyle w:val="Fotnotsreferens"/>
          <w:rFonts w:ascii="Times New Roman" w:eastAsia="Calibri" w:hAnsi="Times New Roman" w:cs="Times New Roman"/>
          <w:sz w:val="24"/>
          <w:szCs w:val="24"/>
        </w:rPr>
        <w:footnoteReference w:id="4"/>
      </w:r>
      <w:r w:rsidR="00E74F1A" w:rsidRPr="00BC6FE1">
        <w:rPr>
          <w:rFonts w:ascii="Times New Roman" w:eastAsia="Calibri" w:hAnsi="Times New Roman" w:cs="Times New Roman"/>
          <w:sz w:val="24"/>
          <w:szCs w:val="24"/>
        </w:rPr>
        <w:t xml:space="preserve">. In </w:t>
      </w:r>
      <w:r w:rsidR="00E74F1A" w:rsidRPr="00B91A28">
        <w:rPr>
          <w:rFonts w:ascii="Times New Roman" w:eastAsia="Calibri" w:hAnsi="Times New Roman" w:cs="Times New Roman"/>
          <w:sz w:val="24"/>
          <w:szCs w:val="24"/>
        </w:rPr>
        <w:t xml:space="preserve">this sense, </w:t>
      </w:r>
      <w:r w:rsidR="005308F2" w:rsidRPr="00B91A28">
        <w:rPr>
          <w:rFonts w:ascii="Times New Roman" w:eastAsia="Calibri" w:hAnsi="Times New Roman" w:cs="Times New Roman"/>
          <w:sz w:val="24"/>
          <w:szCs w:val="24"/>
        </w:rPr>
        <w:t xml:space="preserve">it is left to the EU countries to </w:t>
      </w:r>
      <w:r w:rsidR="00E74F1A" w:rsidRPr="00B91A28">
        <w:rPr>
          <w:rFonts w:ascii="Times New Roman" w:eastAsia="Calibri" w:hAnsi="Times New Roman" w:cs="Times New Roman"/>
          <w:sz w:val="24"/>
          <w:szCs w:val="24"/>
        </w:rPr>
        <w:t>autonomously deal</w:t>
      </w:r>
      <w:r w:rsidR="005308F2" w:rsidRPr="00B91A28">
        <w:rPr>
          <w:rFonts w:ascii="Times New Roman" w:eastAsia="Calibri" w:hAnsi="Times New Roman" w:cs="Times New Roman"/>
          <w:sz w:val="24"/>
          <w:szCs w:val="24"/>
        </w:rPr>
        <w:t xml:space="preserve"> </w:t>
      </w:r>
      <w:r w:rsidR="00E74F1A" w:rsidRPr="00B91A28">
        <w:rPr>
          <w:rFonts w:ascii="Times New Roman" w:eastAsia="Calibri" w:hAnsi="Times New Roman" w:cs="Times New Roman"/>
          <w:sz w:val="24"/>
          <w:szCs w:val="24"/>
        </w:rPr>
        <w:t xml:space="preserve">with the issue of </w:t>
      </w:r>
      <w:r w:rsidR="00B90EB8" w:rsidRPr="00B91A28">
        <w:rPr>
          <w:rFonts w:ascii="Times New Roman" w:eastAsia="Calibri" w:hAnsi="Times New Roman" w:cs="Times New Roman"/>
          <w:sz w:val="24"/>
          <w:szCs w:val="24"/>
        </w:rPr>
        <w:t xml:space="preserve">the </w:t>
      </w:r>
      <w:r w:rsidR="005308F2" w:rsidRPr="00B91A28">
        <w:rPr>
          <w:rFonts w:ascii="Times New Roman" w:eastAsia="Calibri" w:hAnsi="Times New Roman" w:cs="Times New Roman"/>
          <w:sz w:val="24"/>
          <w:szCs w:val="24"/>
        </w:rPr>
        <w:t>protection</w:t>
      </w:r>
      <w:r w:rsidR="00B90EB8" w:rsidRPr="00B91A28">
        <w:rPr>
          <w:rFonts w:ascii="Times New Roman" w:eastAsia="Calibri" w:hAnsi="Times New Roman" w:cs="Times New Roman"/>
          <w:sz w:val="24"/>
          <w:szCs w:val="24"/>
        </w:rPr>
        <w:t xml:space="preserve"> of ethnic minority communities</w:t>
      </w:r>
      <w:r w:rsidR="005308F2" w:rsidRPr="00B91A28">
        <w:rPr>
          <w:rFonts w:ascii="Times New Roman" w:eastAsia="Calibri" w:hAnsi="Times New Roman" w:cs="Times New Roman"/>
          <w:sz w:val="24"/>
          <w:szCs w:val="24"/>
        </w:rPr>
        <w:t xml:space="preserve"> in different levels and</w:t>
      </w:r>
      <w:r w:rsidR="00B90EB8" w:rsidRPr="00B91A28">
        <w:rPr>
          <w:rFonts w:ascii="Times New Roman" w:eastAsia="Calibri" w:hAnsi="Times New Roman" w:cs="Times New Roman"/>
          <w:sz w:val="24"/>
          <w:szCs w:val="24"/>
        </w:rPr>
        <w:t xml:space="preserve"> </w:t>
      </w:r>
      <w:r w:rsidR="005308F2" w:rsidRPr="00B91A28">
        <w:rPr>
          <w:rFonts w:ascii="Times New Roman" w:eastAsia="Calibri" w:hAnsi="Times New Roman" w:cs="Times New Roman"/>
          <w:sz w:val="24"/>
          <w:szCs w:val="24"/>
        </w:rPr>
        <w:t xml:space="preserve">with the introduction of various social welfare policies. </w:t>
      </w:r>
      <w:r w:rsidR="00BC6FE1" w:rsidRPr="00B91A28">
        <w:rPr>
          <w:rFonts w:ascii="Times New Roman" w:eastAsia="Calibri" w:hAnsi="Times New Roman" w:cs="Times New Roman"/>
          <w:sz w:val="24"/>
          <w:szCs w:val="24"/>
        </w:rPr>
        <w:t>Nonetheless</w:t>
      </w:r>
      <w:r w:rsidR="005308F2" w:rsidRPr="00B91A28">
        <w:rPr>
          <w:rFonts w:ascii="Times New Roman" w:eastAsia="Calibri" w:hAnsi="Times New Roman" w:cs="Times New Roman"/>
          <w:sz w:val="24"/>
          <w:szCs w:val="24"/>
        </w:rPr>
        <w:t xml:space="preserve"> the effectiveness and the fairness of those measurements are often left unmonitored or </w:t>
      </w:r>
      <w:r w:rsidR="005308F2" w:rsidRPr="005308F2">
        <w:rPr>
          <w:rFonts w:ascii="Times New Roman" w:eastAsia="Calibri" w:hAnsi="Times New Roman" w:cs="Times New Roman"/>
          <w:sz w:val="24"/>
          <w:szCs w:val="24"/>
        </w:rPr>
        <w:t>there is no sanction for non-compliance</w:t>
      </w:r>
      <w:r w:rsidR="005308F2">
        <w:rPr>
          <w:rFonts w:ascii="Times New Roman" w:eastAsia="Calibri" w:hAnsi="Times New Roman" w:cs="Times New Roman"/>
          <w:sz w:val="24"/>
          <w:szCs w:val="24"/>
        </w:rPr>
        <w:t>.</w:t>
      </w:r>
      <w:r w:rsidR="005308F2">
        <w:rPr>
          <w:rFonts w:ascii="Times New Roman" w:eastAsia="Calibri" w:hAnsi="Times New Roman" w:cs="Times New Roman"/>
          <w:sz w:val="24"/>
          <w:szCs w:val="24"/>
          <w:highlight w:val="yellow"/>
        </w:rPr>
        <w:t xml:space="preserve">  </w:t>
      </w:r>
    </w:p>
    <w:p w14:paraId="177D41A1" w14:textId="3B4B6979" w:rsidR="0036377A" w:rsidRDefault="0036377A" w:rsidP="00DE75BF">
      <w:pPr>
        <w:spacing w:line="360" w:lineRule="auto"/>
        <w:jc w:val="both"/>
        <w:rPr>
          <w:rFonts w:ascii="Times New Roman" w:eastAsia="Calibri" w:hAnsi="Times New Roman" w:cs="Times New Roman"/>
          <w:sz w:val="24"/>
          <w:szCs w:val="24"/>
        </w:rPr>
      </w:pPr>
    </w:p>
    <w:p w14:paraId="2413B9AC" w14:textId="1849E402" w:rsidR="00B91A28" w:rsidRDefault="0032618E" w:rsidP="0032618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 invite members of the Cost Action and beyond to discuss the possibility of a special issue on social welfare and ethnic minorities from the late 19</w:t>
      </w:r>
      <w:r w:rsidRPr="003F35B3">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century to the present day. The questions we pose are the following: How have different systems of social welfare addressed issues of ethnic heterogeneity? In which ways have the different providers of social welfare contributed to the social inclusion and exclusion of ethnic minorities? How has the recognition of minority rights affected the distribution and organization of social welfare? Although our focus is on systems of social welfare and their interconnection with ethnic minorities, we are at this point also open to contributions on other aspects of welfare in relation to ethnic minorities. Here, we understand the concept of welfare broadly, ranging from social insurance and services to health care and education, which together provide a foundation for social security and social mobility.</w:t>
      </w:r>
    </w:p>
    <w:p w14:paraId="65BCD925" w14:textId="18E35808" w:rsidR="00B91A28" w:rsidRDefault="00B91A28" w:rsidP="0032618E">
      <w:pPr>
        <w:spacing w:line="240" w:lineRule="auto"/>
        <w:jc w:val="both"/>
        <w:rPr>
          <w:rFonts w:ascii="Times New Roman" w:eastAsia="Calibri" w:hAnsi="Times New Roman" w:cs="Times New Roman"/>
          <w:sz w:val="24"/>
          <w:szCs w:val="24"/>
        </w:rPr>
      </w:pPr>
    </w:p>
    <w:p w14:paraId="64B4DA7C" w14:textId="039C925D" w:rsidR="00B91A28" w:rsidRDefault="00B91A28" w:rsidP="0032618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If you wish to participate in the planning of the special issue during a session at the Cost Action-meeting in Florence December 14 to 16, please send a short description of your idea for an article to Hanna Lindberg (</w:t>
      </w:r>
      <w:hyperlink r:id="rId7" w:history="1">
        <w:r w:rsidRPr="00A53C14">
          <w:rPr>
            <w:rStyle w:val="Hyperlnk"/>
            <w:rFonts w:ascii="Times New Roman" w:eastAsia="Calibri" w:hAnsi="Times New Roman" w:cs="Times New Roman"/>
            <w:sz w:val="24"/>
            <w:szCs w:val="24"/>
          </w:rPr>
          <w:t>hanna.lindberg@tuni.fi</w:t>
        </w:r>
      </w:hyperlink>
      <w:r>
        <w:rPr>
          <w:rFonts w:ascii="Times New Roman" w:eastAsia="Calibri" w:hAnsi="Times New Roman" w:cs="Times New Roman"/>
          <w:sz w:val="24"/>
          <w:szCs w:val="24"/>
        </w:rPr>
        <w:t xml:space="preserve">) and Karolina </w:t>
      </w:r>
      <w:proofErr w:type="spellStart"/>
      <w:r>
        <w:rPr>
          <w:rFonts w:ascii="Times New Roman" w:eastAsia="Calibri" w:hAnsi="Times New Roman" w:cs="Times New Roman"/>
          <w:sz w:val="24"/>
          <w:szCs w:val="24"/>
        </w:rPr>
        <w:t>Lendák-Kabók</w:t>
      </w:r>
      <w:proofErr w:type="spellEnd"/>
      <w:r>
        <w:rPr>
          <w:rFonts w:ascii="Times New Roman" w:eastAsia="Calibri" w:hAnsi="Times New Roman" w:cs="Times New Roman"/>
          <w:sz w:val="24"/>
          <w:szCs w:val="24"/>
        </w:rPr>
        <w:t xml:space="preserve"> (</w:t>
      </w:r>
      <w:hyperlink r:id="rId8" w:history="1">
        <w:r w:rsidRPr="00A53C14">
          <w:rPr>
            <w:rStyle w:val="Hyperlnk"/>
            <w:rFonts w:ascii="Times New Roman" w:eastAsia="Calibri" w:hAnsi="Times New Roman" w:cs="Times New Roman"/>
            <w:sz w:val="24"/>
            <w:szCs w:val="24"/>
          </w:rPr>
          <w:t>karolina.lendak@uns.ac.rs</w:t>
        </w:r>
      </w:hyperlink>
      <w:r>
        <w:rPr>
          <w:rFonts w:ascii="Times New Roman" w:eastAsia="Calibri" w:hAnsi="Times New Roman" w:cs="Times New Roman"/>
          <w:sz w:val="24"/>
          <w:szCs w:val="24"/>
        </w:rPr>
        <w:t xml:space="preserve">) by December 7. </w:t>
      </w:r>
    </w:p>
    <w:p w14:paraId="7D3E1E40" w14:textId="77777777" w:rsidR="0032618E" w:rsidRDefault="0032618E" w:rsidP="0032618E">
      <w:pPr>
        <w:spacing w:line="240" w:lineRule="auto"/>
        <w:jc w:val="both"/>
        <w:rPr>
          <w:rFonts w:ascii="Times New Roman" w:eastAsia="Calibri" w:hAnsi="Times New Roman" w:cs="Times New Roman"/>
          <w:sz w:val="24"/>
          <w:szCs w:val="24"/>
        </w:rPr>
      </w:pPr>
    </w:p>
    <w:p w14:paraId="571A1255" w14:textId="1E3E3CBE" w:rsidR="0036377A" w:rsidRDefault="0036377A" w:rsidP="00DE75BF">
      <w:pPr>
        <w:spacing w:line="360" w:lineRule="auto"/>
        <w:jc w:val="both"/>
        <w:rPr>
          <w:rFonts w:ascii="Times New Roman" w:eastAsia="Calibri" w:hAnsi="Times New Roman" w:cs="Times New Roman"/>
          <w:sz w:val="24"/>
          <w:szCs w:val="24"/>
        </w:rPr>
      </w:pPr>
    </w:p>
    <w:p w14:paraId="54AD1426" w14:textId="77777777" w:rsidR="0036377A" w:rsidRPr="00DE75BF" w:rsidRDefault="0036377A" w:rsidP="00DE75BF">
      <w:pPr>
        <w:spacing w:line="360" w:lineRule="auto"/>
        <w:jc w:val="both"/>
        <w:rPr>
          <w:rFonts w:ascii="Times New Roman" w:eastAsia="Calibri" w:hAnsi="Times New Roman" w:cs="Times New Roman"/>
          <w:sz w:val="24"/>
          <w:szCs w:val="24"/>
        </w:rPr>
      </w:pPr>
    </w:p>
    <w:p w14:paraId="4BF6DBD6" w14:textId="7DA2AAF2" w:rsidR="0036377A" w:rsidRPr="00DE75BF" w:rsidRDefault="0036377A" w:rsidP="00DE75BF">
      <w:pPr>
        <w:spacing w:line="360" w:lineRule="auto"/>
      </w:pPr>
      <w:r w:rsidRPr="00DE75BF">
        <w:rPr>
          <w:rFonts w:ascii="Times New Roman" w:eastAsia="Calibri" w:hAnsi="Times New Roman" w:cs="Times New Roman"/>
          <w:sz w:val="24"/>
          <w:szCs w:val="24"/>
        </w:rPr>
        <w:t xml:space="preserve"> </w:t>
      </w:r>
    </w:p>
    <w:sectPr w:rsidR="0036377A" w:rsidRPr="00DE75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521A" w14:textId="77777777" w:rsidR="00756BAA" w:rsidRDefault="00756BAA" w:rsidP="004815BC">
      <w:pPr>
        <w:spacing w:after="0" w:line="240" w:lineRule="auto"/>
      </w:pPr>
      <w:r>
        <w:separator/>
      </w:r>
    </w:p>
  </w:endnote>
  <w:endnote w:type="continuationSeparator" w:id="0">
    <w:p w14:paraId="3E091A55" w14:textId="77777777" w:rsidR="00756BAA" w:rsidRDefault="00756BAA" w:rsidP="0048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0FB15" w14:textId="77777777" w:rsidR="00756BAA" w:rsidRDefault="00756BAA" w:rsidP="004815BC">
      <w:pPr>
        <w:spacing w:after="0" w:line="240" w:lineRule="auto"/>
      </w:pPr>
      <w:r>
        <w:separator/>
      </w:r>
    </w:p>
  </w:footnote>
  <w:footnote w:type="continuationSeparator" w:id="0">
    <w:p w14:paraId="3CAF8EA6" w14:textId="77777777" w:rsidR="00756BAA" w:rsidRDefault="00756BAA" w:rsidP="004815BC">
      <w:pPr>
        <w:spacing w:after="0" w:line="240" w:lineRule="auto"/>
      </w:pPr>
      <w:r>
        <w:continuationSeparator/>
      </w:r>
    </w:p>
  </w:footnote>
  <w:footnote w:id="1">
    <w:p w14:paraId="5588C6B3" w14:textId="45CDD09E" w:rsidR="0057566A" w:rsidRPr="00892FAE" w:rsidRDefault="0057566A" w:rsidP="0057566A">
      <w:pPr>
        <w:spacing w:line="240" w:lineRule="auto"/>
        <w:rPr>
          <w:sz w:val="20"/>
          <w:szCs w:val="20"/>
          <w:lang w:val="en-US" w:eastAsia="sv-FI"/>
        </w:rPr>
      </w:pPr>
      <w:r w:rsidRPr="0057566A">
        <w:rPr>
          <w:rStyle w:val="Fotnotsreferens"/>
          <w:sz w:val="20"/>
          <w:szCs w:val="20"/>
        </w:rPr>
        <w:footnoteRef/>
      </w:r>
      <w:r w:rsidRPr="0057566A">
        <w:rPr>
          <w:sz w:val="20"/>
          <w:szCs w:val="20"/>
        </w:rPr>
        <w:t xml:space="preserve"> </w:t>
      </w:r>
      <w:r w:rsidRPr="00892FAE">
        <w:rPr>
          <w:sz w:val="20"/>
          <w:szCs w:val="20"/>
          <w:lang w:val="en-US"/>
        </w:rPr>
        <w:t>See e.g. S</w:t>
      </w:r>
      <w:proofErr w:type="spellStart"/>
      <w:r w:rsidRPr="00892FAE">
        <w:rPr>
          <w:sz w:val="20"/>
          <w:szCs w:val="20"/>
        </w:rPr>
        <w:t>zikra</w:t>
      </w:r>
      <w:proofErr w:type="spellEnd"/>
      <w:r w:rsidRPr="00892FAE">
        <w:rPr>
          <w:sz w:val="20"/>
          <w:szCs w:val="20"/>
        </w:rPr>
        <w:t xml:space="preserve">, D. (2009) </w:t>
      </w:r>
      <w:r w:rsidRPr="00892FAE">
        <w:rPr>
          <w:sz w:val="20"/>
          <w:szCs w:val="20"/>
          <w:lang w:val="en-US" w:eastAsia="sv-FI"/>
        </w:rPr>
        <w:t xml:space="preserve">Social Policy and Anti-Semitic Exclusion before and during World War II in Hungary. The Case of the Productive Social Policy. In </w:t>
      </w:r>
      <w:proofErr w:type="spellStart"/>
      <w:r w:rsidRPr="00892FAE">
        <w:rPr>
          <w:sz w:val="20"/>
          <w:szCs w:val="20"/>
          <w:lang w:val="en-US" w:eastAsia="sv-FI"/>
        </w:rPr>
        <w:t>Hauss</w:t>
      </w:r>
      <w:proofErr w:type="spellEnd"/>
      <w:r w:rsidRPr="00892FAE">
        <w:rPr>
          <w:sz w:val="20"/>
          <w:szCs w:val="20"/>
          <w:lang w:val="en-US" w:eastAsia="sv-FI"/>
        </w:rPr>
        <w:t>, G. &amp; Schulte D</w:t>
      </w:r>
      <w:r w:rsidR="00475570" w:rsidRPr="00892FAE">
        <w:rPr>
          <w:sz w:val="20"/>
          <w:szCs w:val="20"/>
          <w:lang w:val="en-US" w:eastAsia="sv-FI"/>
        </w:rPr>
        <w:t xml:space="preserve"> (eds.)</w:t>
      </w:r>
      <w:r w:rsidRPr="00892FAE">
        <w:rPr>
          <w:sz w:val="20"/>
          <w:szCs w:val="20"/>
          <w:lang w:val="en-US" w:eastAsia="sv-FI"/>
        </w:rPr>
        <w:t xml:space="preserve">. </w:t>
      </w:r>
      <w:r w:rsidRPr="00892FAE">
        <w:rPr>
          <w:i/>
          <w:iCs/>
          <w:sz w:val="20"/>
          <w:szCs w:val="20"/>
          <w:lang w:val="en-US" w:eastAsia="sv-FI"/>
        </w:rPr>
        <w:t xml:space="preserve">Amid Social Contradictions: Towards a History of Social Work in Europe. </w:t>
      </w:r>
      <w:r w:rsidRPr="00892FAE">
        <w:rPr>
          <w:sz w:val="20"/>
          <w:szCs w:val="20"/>
          <w:lang w:val="sv-FI" w:eastAsia="sv-FI"/>
        </w:rPr>
        <w:t>Opladen: Verlag Barbara Budrich,</w:t>
      </w:r>
      <w:r w:rsidRPr="00892FAE">
        <w:rPr>
          <w:i/>
          <w:iCs/>
          <w:sz w:val="20"/>
          <w:szCs w:val="20"/>
          <w:lang w:val="sv-FI" w:eastAsia="sv-FI"/>
        </w:rPr>
        <w:t xml:space="preserve"> </w:t>
      </w:r>
      <w:r w:rsidR="00475570" w:rsidRPr="00892FAE">
        <w:rPr>
          <w:sz w:val="20"/>
          <w:szCs w:val="20"/>
          <w:lang w:val="sv-FI" w:eastAsia="sv-FI"/>
        </w:rPr>
        <w:t>112–131</w:t>
      </w:r>
      <w:r w:rsidRPr="00892FAE">
        <w:rPr>
          <w:sz w:val="20"/>
          <w:szCs w:val="20"/>
          <w:lang w:val="sv-FI" w:eastAsia="sv-FI"/>
        </w:rPr>
        <w:t xml:space="preserve">; </w:t>
      </w:r>
      <w:r w:rsidR="00475570" w:rsidRPr="00892FAE">
        <w:rPr>
          <w:sz w:val="20"/>
          <w:szCs w:val="20"/>
          <w:lang w:val="sv-FI" w:eastAsia="sv-FI"/>
        </w:rPr>
        <w:t xml:space="preserve">Broberg, G. &amp; Roll-Hansen, N. (eds.) </w:t>
      </w:r>
      <w:r w:rsidR="00475570" w:rsidRPr="00892FAE">
        <w:rPr>
          <w:sz w:val="20"/>
          <w:szCs w:val="20"/>
          <w:lang w:val="en-US" w:eastAsia="sv-FI"/>
        </w:rPr>
        <w:t xml:space="preserve">(1996). </w:t>
      </w:r>
      <w:r w:rsidRPr="00892FAE">
        <w:rPr>
          <w:i/>
          <w:iCs/>
          <w:sz w:val="20"/>
          <w:szCs w:val="20"/>
          <w:lang w:val="en-US" w:eastAsia="sv-FI"/>
        </w:rPr>
        <w:t>Eugenics and the Welfare State. Norway, Sweden, Denmark, and Finland</w:t>
      </w:r>
      <w:r w:rsidR="00475570" w:rsidRPr="00892FAE">
        <w:rPr>
          <w:i/>
          <w:iCs/>
          <w:sz w:val="20"/>
          <w:szCs w:val="20"/>
          <w:lang w:val="en-US" w:eastAsia="sv-FI"/>
        </w:rPr>
        <w:t xml:space="preserve">. </w:t>
      </w:r>
      <w:r w:rsidR="00475570" w:rsidRPr="00892FAE">
        <w:rPr>
          <w:sz w:val="20"/>
          <w:szCs w:val="20"/>
          <w:lang w:val="en-US" w:eastAsia="sv-FI"/>
        </w:rPr>
        <w:t>East Lansing: Michigan State University Press.</w:t>
      </w:r>
    </w:p>
  </w:footnote>
  <w:footnote w:id="2">
    <w:p w14:paraId="2F6395E1" w14:textId="583F22B0" w:rsidR="00725C39" w:rsidRPr="00892FAE" w:rsidRDefault="00725C39">
      <w:pPr>
        <w:pStyle w:val="Fotnotstext"/>
      </w:pPr>
      <w:r w:rsidRPr="00892FAE">
        <w:rPr>
          <w:rStyle w:val="Fotnotsreferens"/>
        </w:rPr>
        <w:footnoteRef/>
      </w:r>
      <w:r w:rsidRPr="00892FAE">
        <w:t xml:space="preserve"> For the Finnish case see e.g. Bergenheim, S. (2018) Cherishing the health of the people: Finnish non-governmental expert </w:t>
      </w:r>
      <w:proofErr w:type="spellStart"/>
      <w:r w:rsidRPr="00892FAE">
        <w:t>organisations</w:t>
      </w:r>
      <w:proofErr w:type="spellEnd"/>
      <w:r w:rsidRPr="00892FAE">
        <w:t xml:space="preserve"> as constructors of public health and the ‘people’. In </w:t>
      </w:r>
      <w:proofErr w:type="spellStart"/>
      <w:r w:rsidRPr="00892FAE">
        <w:t>Kananen</w:t>
      </w:r>
      <w:proofErr w:type="spellEnd"/>
      <w:r w:rsidRPr="00892FAE">
        <w:t>, J., Bergenheim, S., &amp; Wessel, M.</w:t>
      </w:r>
      <w:r w:rsidR="004B1899" w:rsidRPr="00892FAE">
        <w:t xml:space="preserve"> (eds.). </w:t>
      </w:r>
      <w:proofErr w:type="spellStart"/>
      <w:r w:rsidR="004B1899" w:rsidRPr="00892FAE">
        <w:rPr>
          <w:i/>
          <w:iCs/>
        </w:rPr>
        <w:t>Conseptualising</w:t>
      </w:r>
      <w:proofErr w:type="spellEnd"/>
      <w:r w:rsidR="004B1899" w:rsidRPr="00892FAE">
        <w:rPr>
          <w:i/>
          <w:iCs/>
        </w:rPr>
        <w:t xml:space="preserve"> Public Health. Historical and Contemporary Struggles over Key Concepts</w:t>
      </w:r>
      <w:r w:rsidR="004B1899" w:rsidRPr="00892FAE">
        <w:t>. Abingdon- on-Thames: Routledge, 101-118.</w:t>
      </w:r>
    </w:p>
  </w:footnote>
  <w:footnote w:id="3">
    <w:p w14:paraId="7951C834" w14:textId="4F020646" w:rsidR="00B54AA1" w:rsidRPr="00892FAE" w:rsidRDefault="00B54AA1">
      <w:pPr>
        <w:pStyle w:val="Fotnotstext"/>
        <w:rPr>
          <w:lang w:val="hu-HU"/>
        </w:rPr>
      </w:pPr>
      <w:r w:rsidRPr="00892FAE">
        <w:rPr>
          <w:rStyle w:val="Fotnotsreferens"/>
        </w:rPr>
        <w:footnoteRef/>
      </w:r>
      <w:r w:rsidRPr="00892FAE">
        <w:t xml:space="preserve"> May, S. (2012). </w:t>
      </w:r>
      <w:r w:rsidRPr="00892FAE">
        <w:rPr>
          <w:i/>
          <w:iCs/>
        </w:rPr>
        <w:t>Language and minority rights: ethnicity, nationalism, and the politics of language</w:t>
      </w:r>
      <w:r w:rsidRPr="00892FAE">
        <w:t>. Routledge.</w:t>
      </w:r>
    </w:p>
  </w:footnote>
  <w:footnote w:id="4">
    <w:p w14:paraId="30C66EB9" w14:textId="303E153B" w:rsidR="00E74F1A" w:rsidRPr="00892FAE" w:rsidRDefault="00E74F1A">
      <w:pPr>
        <w:pStyle w:val="Fotnotstext"/>
        <w:rPr>
          <w:lang w:val="hu-HU"/>
        </w:rPr>
      </w:pPr>
      <w:r w:rsidRPr="00892FAE">
        <w:rPr>
          <w:rStyle w:val="Fotnotsreferens"/>
        </w:rPr>
        <w:footnoteRef/>
      </w:r>
      <w:r w:rsidRPr="00892FAE">
        <w:t xml:space="preserve"> Kraus, P. and </w:t>
      </w:r>
      <w:proofErr w:type="spellStart"/>
      <w:r w:rsidRPr="00892FAE">
        <w:t>Kazlauskaite-Gürbüz</w:t>
      </w:r>
      <w:proofErr w:type="spellEnd"/>
      <w:r w:rsidRPr="00892FAE">
        <w:t xml:space="preserve">, R. (2014) Addressing linguistic diversity in the European Union: Strategies and dilemmas. </w:t>
      </w:r>
      <w:r w:rsidRPr="00892FAE">
        <w:rPr>
          <w:i/>
          <w:iCs/>
        </w:rPr>
        <w:t xml:space="preserve">Ethnicities, </w:t>
      </w:r>
      <w:r w:rsidRPr="00892FAE">
        <w:t>14(4), 517–538. https://doi.org/10.1177/1468796814528693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BC"/>
    <w:rsid w:val="0005091B"/>
    <w:rsid w:val="00095005"/>
    <w:rsid w:val="000B0A0A"/>
    <w:rsid w:val="00116F40"/>
    <w:rsid w:val="002705F1"/>
    <w:rsid w:val="002C70B8"/>
    <w:rsid w:val="002F58B2"/>
    <w:rsid w:val="0032618E"/>
    <w:rsid w:val="00361A73"/>
    <w:rsid w:val="0036377A"/>
    <w:rsid w:val="003C0F74"/>
    <w:rsid w:val="003D6F9D"/>
    <w:rsid w:val="003F35B3"/>
    <w:rsid w:val="00475570"/>
    <w:rsid w:val="004815BC"/>
    <w:rsid w:val="004A1646"/>
    <w:rsid w:val="004B1899"/>
    <w:rsid w:val="004B2F4D"/>
    <w:rsid w:val="004C3D05"/>
    <w:rsid w:val="004D0521"/>
    <w:rsid w:val="005122B2"/>
    <w:rsid w:val="005308F2"/>
    <w:rsid w:val="0057566A"/>
    <w:rsid w:val="0058151A"/>
    <w:rsid w:val="005D4F0A"/>
    <w:rsid w:val="005E73C2"/>
    <w:rsid w:val="00613732"/>
    <w:rsid w:val="0063081B"/>
    <w:rsid w:val="00646089"/>
    <w:rsid w:val="006B483D"/>
    <w:rsid w:val="006E68DA"/>
    <w:rsid w:val="00725C39"/>
    <w:rsid w:val="00756BAA"/>
    <w:rsid w:val="00781296"/>
    <w:rsid w:val="007D6BB9"/>
    <w:rsid w:val="00856AAC"/>
    <w:rsid w:val="00892FAE"/>
    <w:rsid w:val="008B2465"/>
    <w:rsid w:val="00962034"/>
    <w:rsid w:val="00AE4E95"/>
    <w:rsid w:val="00B243DA"/>
    <w:rsid w:val="00B54AA1"/>
    <w:rsid w:val="00B85315"/>
    <w:rsid w:val="00B90EB8"/>
    <w:rsid w:val="00B91A28"/>
    <w:rsid w:val="00BA7987"/>
    <w:rsid w:val="00BC6FE1"/>
    <w:rsid w:val="00C377CA"/>
    <w:rsid w:val="00C8732A"/>
    <w:rsid w:val="00D140BE"/>
    <w:rsid w:val="00D3041C"/>
    <w:rsid w:val="00D8200E"/>
    <w:rsid w:val="00D8522E"/>
    <w:rsid w:val="00DC0492"/>
    <w:rsid w:val="00DE75BF"/>
    <w:rsid w:val="00E4777B"/>
    <w:rsid w:val="00E74F1A"/>
    <w:rsid w:val="00E860BD"/>
    <w:rsid w:val="00EA4023"/>
    <w:rsid w:val="00EC4D81"/>
    <w:rsid w:val="00F53CC5"/>
    <w:rsid w:val="00F66C8E"/>
    <w:rsid w:val="00F829F7"/>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1144"/>
  <w15:chartTrackingRefBased/>
  <w15:docId w15:val="{6FD064D3-8BC7-4DD1-A690-611F654B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B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Rubrik1"/>
    <w:link w:val="Style1Char"/>
    <w:qFormat/>
    <w:rsid w:val="008B2465"/>
    <w:pPr>
      <w:keepLines w:val="0"/>
      <w:spacing w:after="60" w:line="360" w:lineRule="auto"/>
      <w:jc w:val="both"/>
    </w:pPr>
    <w:rPr>
      <w:rFonts w:ascii="Times New Roman" w:hAnsi="Times New Roman"/>
      <w:bCs/>
      <w:color w:val="auto"/>
      <w:kern w:val="32"/>
      <w:sz w:val="24"/>
      <w:lang w:val="sr-Latn-RS"/>
    </w:rPr>
  </w:style>
  <w:style w:type="character" w:customStyle="1" w:styleId="Style1Char">
    <w:name w:val="Style1 Char"/>
    <w:basedOn w:val="Rubrik1Char"/>
    <w:link w:val="Style1"/>
    <w:rsid w:val="008B2465"/>
    <w:rPr>
      <w:rFonts w:ascii="Times New Roman" w:eastAsiaTheme="majorEastAsia" w:hAnsi="Times New Roman" w:cstheme="majorBidi"/>
      <w:bCs/>
      <w:color w:val="2F5496" w:themeColor="accent1" w:themeShade="BF"/>
      <w:kern w:val="32"/>
      <w:sz w:val="24"/>
      <w:szCs w:val="32"/>
      <w:lang w:val="sr-Latn-RS"/>
    </w:rPr>
  </w:style>
  <w:style w:type="character" w:customStyle="1" w:styleId="Rubrik1Char">
    <w:name w:val="Rubrik 1 Char"/>
    <w:basedOn w:val="Standardstycketeckensnitt"/>
    <w:link w:val="Rubrik1"/>
    <w:uiPriority w:val="9"/>
    <w:rsid w:val="008B2465"/>
    <w:rPr>
      <w:rFonts w:asciiTheme="majorHAnsi" w:eastAsiaTheme="majorEastAsia" w:hAnsiTheme="majorHAnsi" w:cstheme="majorBidi"/>
      <w:color w:val="2F5496" w:themeColor="accent1" w:themeShade="BF"/>
      <w:sz w:val="32"/>
      <w:szCs w:val="32"/>
    </w:rPr>
  </w:style>
  <w:style w:type="paragraph" w:styleId="Fotnotstext">
    <w:name w:val="footnote text"/>
    <w:basedOn w:val="Normal"/>
    <w:link w:val="FotnotstextChar"/>
    <w:uiPriority w:val="99"/>
    <w:semiHidden/>
    <w:unhideWhenUsed/>
    <w:rsid w:val="004815BC"/>
    <w:pPr>
      <w:spacing w:after="0" w:line="240" w:lineRule="auto"/>
    </w:pPr>
    <w:rPr>
      <w:rFonts w:ascii="Calibri" w:eastAsia="Calibri" w:hAnsi="Calibri" w:cs="Times New Roman"/>
      <w:sz w:val="20"/>
      <w:szCs w:val="20"/>
      <w:lang w:val="en-US"/>
    </w:rPr>
  </w:style>
  <w:style w:type="character" w:customStyle="1" w:styleId="FotnotstextChar">
    <w:name w:val="Fotnotstext Char"/>
    <w:basedOn w:val="Standardstycketeckensnitt"/>
    <w:link w:val="Fotnotstext"/>
    <w:uiPriority w:val="99"/>
    <w:semiHidden/>
    <w:rsid w:val="004815BC"/>
    <w:rPr>
      <w:rFonts w:ascii="Calibri" w:eastAsia="Calibri" w:hAnsi="Calibri" w:cs="Times New Roman"/>
      <w:sz w:val="20"/>
      <w:szCs w:val="20"/>
      <w:lang w:val="en-US"/>
    </w:rPr>
  </w:style>
  <w:style w:type="character" w:styleId="Fotnotsreferens">
    <w:name w:val="footnote reference"/>
    <w:uiPriority w:val="99"/>
    <w:semiHidden/>
    <w:unhideWhenUsed/>
    <w:rsid w:val="004815BC"/>
    <w:rPr>
      <w:vertAlign w:val="superscript"/>
    </w:rPr>
  </w:style>
  <w:style w:type="paragraph" w:styleId="Ballongtext">
    <w:name w:val="Balloon Text"/>
    <w:basedOn w:val="Normal"/>
    <w:link w:val="BallongtextChar"/>
    <w:uiPriority w:val="99"/>
    <w:semiHidden/>
    <w:unhideWhenUsed/>
    <w:rsid w:val="00B54A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4AA1"/>
    <w:rPr>
      <w:rFonts w:ascii="Segoe UI" w:hAnsi="Segoe UI" w:cs="Segoe UI"/>
      <w:sz w:val="18"/>
      <w:szCs w:val="18"/>
    </w:rPr>
  </w:style>
  <w:style w:type="character" w:styleId="Kommentarsreferens">
    <w:name w:val="annotation reference"/>
    <w:basedOn w:val="Standardstycketeckensnitt"/>
    <w:uiPriority w:val="99"/>
    <w:semiHidden/>
    <w:unhideWhenUsed/>
    <w:rsid w:val="00095005"/>
    <w:rPr>
      <w:sz w:val="16"/>
      <w:szCs w:val="16"/>
    </w:rPr>
  </w:style>
  <w:style w:type="paragraph" w:styleId="Kommentarer">
    <w:name w:val="annotation text"/>
    <w:basedOn w:val="Normal"/>
    <w:link w:val="KommentarerChar"/>
    <w:uiPriority w:val="99"/>
    <w:semiHidden/>
    <w:unhideWhenUsed/>
    <w:rsid w:val="00095005"/>
    <w:pPr>
      <w:spacing w:line="240" w:lineRule="auto"/>
    </w:pPr>
    <w:rPr>
      <w:sz w:val="20"/>
      <w:szCs w:val="20"/>
    </w:rPr>
  </w:style>
  <w:style w:type="character" w:customStyle="1" w:styleId="KommentarerChar">
    <w:name w:val="Kommentarer Char"/>
    <w:basedOn w:val="Standardstycketeckensnitt"/>
    <w:link w:val="Kommentarer"/>
    <w:uiPriority w:val="99"/>
    <w:semiHidden/>
    <w:rsid w:val="00095005"/>
    <w:rPr>
      <w:sz w:val="20"/>
      <w:szCs w:val="20"/>
    </w:rPr>
  </w:style>
  <w:style w:type="paragraph" w:styleId="Kommentarsmne">
    <w:name w:val="annotation subject"/>
    <w:basedOn w:val="Kommentarer"/>
    <w:next w:val="Kommentarer"/>
    <w:link w:val="KommentarsmneChar"/>
    <w:uiPriority w:val="99"/>
    <w:semiHidden/>
    <w:unhideWhenUsed/>
    <w:rsid w:val="00095005"/>
    <w:rPr>
      <w:b/>
      <w:bCs/>
    </w:rPr>
  </w:style>
  <w:style w:type="character" w:customStyle="1" w:styleId="KommentarsmneChar">
    <w:name w:val="Kommentarsämne Char"/>
    <w:basedOn w:val="KommentarerChar"/>
    <w:link w:val="Kommentarsmne"/>
    <w:uiPriority w:val="99"/>
    <w:semiHidden/>
    <w:rsid w:val="00095005"/>
    <w:rPr>
      <w:b/>
      <w:bCs/>
      <w:sz w:val="20"/>
      <w:szCs w:val="20"/>
    </w:rPr>
  </w:style>
  <w:style w:type="character" w:styleId="Hyperlnk">
    <w:name w:val="Hyperlink"/>
    <w:basedOn w:val="Standardstycketeckensnitt"/>
    <w:uiPriority w:val="99"/>
    <w:unhideWhenUsed/>
    <w:rsid w:val="00B91A28"/>
    <w:rPr>
      <w:color w:val="0563C1" w:themeColor="hyperlink"/>
      <w:u w:val="single"/>
    </w:rPr>
  </w:style>
  <w:style w:type="character" w:styleId="Olstomnmnande">
    <w:name w:val="Unresolved Mention"/>
    <w:basedOn w:val="Standardstycketeckensnitt"/>
    <w:uiPriority w:val="99"/>
    <w:semiHidden/>
    <w:unhideWhenUsed/>
    <w:rsid w:val="00B91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6941">
      <w:bodyDiv w:val="1"/>
      <w:marLeft w:val="0"/>
      <w:marRight w:val="0"/>
      <w:marTop w:val="0"/>
      <w:marBottom w:val="0"/>
      <w:divBdr>
        <w:top w:val="none" w:sz="0" w:space="0" w:color="auto"/>
        <w:left w:val="none" w:sz="0" w:space="0" w:color="auto"/>
        <w:bottom w:val="none" w:sz="0" w:space="0" w:color="auto"/>
        <w:right w:val="none" w:sz="0" w:space="0" w:color="auto"/>
      </w:divBdr>
      <w:divsChild>
        <w:div w:id="314993034">
          <w:marLeft w:val="0"/>
          <w:marRight w:val="0"/>
          <w:marTop w:val="0"/>
          <w:marBottom w:val="0"/>
          <w:divBdr>
            <w:top w:val="none" w:sz="0" w:space="0" w:color="auto"/>
            <w:left w:val="none" w:sz="0" w:space="0" w:color="auto"/>
            <w:bottom w:val="none" w:sz="0" w:space="0" w:color="auto"/>
            <w:right w:val="none" w:sz="0" w:space="0" w:color="auto"/>
          </w:divBdr>
          <w:divsChild>
            <w:div w:id="799150065">
              <w:marLeft w:val="0"/>
              <w:marRight w:val="0"/>
              <w:marTop w:val="0"/>
              <w:marBottom w:val="0"/>
              <w:divBdr>
                <w:top w:val="none" w:sz="0" w:space="0" w:color="auto"/>
                <w:left w:val="none" w:sz="0" w:space="0" w:color="auto"/>
                <w:bottom w:val="none" w:sz="0" w:space="0" w:color="auto"/>
                <w:right w:val="none" w:sz="0" w:space="0" w:color="auto"/>
              </w:divBdr>
              <w:divsChild>
                <w:div w:id="1244339960">
                  <w:marLeft w:val="0"/>
                  <w:marRight w:val="0"/>
                  <w:marTop w:val="0"/>
                  <w:marBottom w:val="0"/>
                  <w:divBdr>
                    <w:top w:val="none" w:sz="0" w:space="0" w:color="auto"/>
                    <w:left w:val="none" w:sz="0" w:space="0" w:color="auto"/>
                    <w:bottom w:val="none" w:sz="0" w:space="0" w:color="auto"/>
                    <w:right w:val="none" w:sz="0" w:space="0" w:color="auto"/>
                  </w:divBdr>
                  <w:divsChild>
                    <w:div w:id="17607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3258">
      <w:bodyDiv w:val="1"/>
      <w:marLeft w:val="0"/>
      <w:marRight w:val="0"/>
      <w:marTop w:val="0"/>
      <w:marBottom w:val="0"/>
      <w:divBdr>
        <w:top w:val="none" w:sz="0" w:space="0" w:color="auto"/>
        <w:left w:val="none" w:sz="0" w:space="0" w:color="auto"/>
        <w:bottom w:val="none" w:sz="0" w:space="0" w:color="auto"/>
        <w:right w:val="none" w:sz="0" w:space="0" w:color="auto"/>
      </w:divBdr>
      <w:divsChild>
        <w:div w:id="92747618">
          <w:marLeft w:val="0"/>
          <w:marRight w:val="0"/>
          <w:marTop w:val="0"/>
          <w:marBottom w:val="0"/>
          <w:divBdr>
            <w:top w:val="none" w:sz="0" w:space="0" w:color="auto"/>
            <w:left w:val="none" w:sz="0" w:space="0" w:color="auto"/>
            <w:bottom w:val="none" w:sz="0" w:space="0" w:color="auto"/>
            <w:right w:val="none" w:sz="0" w:space="0" w:color="auto"/>
          </w:divBdr>
        </w:div>
      </w:divsChild>
    </w:div>
    <w:div w:id="1770537689">
      <w:bodyDiv w:val="1"/>
      <w:marLeft w:val="0"/>
      <w:marRight w:val="0"/>
      <w:marTop w:val="0"/>
      <w:marBottom w:val="0"/>
      <w:divBdr>
        <w:top w:val="none" w:sz="0" w:space="0" w:color="auto"/>
        <w:left w:val="none" w:sz="0" w:space="0" w:color="auto"/>
        <w:bottom w:val="none" w:sz="0" w:space="0" w:color="auto"/>
        <w:right w:val="none" w:sz="0" w:space="0" w:color="auto"/>
      </w:divBdr>
    </w:div>
    <w:div w:id="1821457786">
      <w:bodyDiv w:val="1"/>
      <w:marLeft w:val="0"/>
      <w:marRight w:val="0"/>
      <w:marTop w:val="0"/>
      <w:marBottom w:val="0"/>
      <w:divBdr>
        <w:top w:val="none" w:sz="0" w:space="0" w:color="auto"/>
        <w:left w:val="none" w:sz="0" w:space="0" w:color="auto"/>
        <w:bottom w:val="none" w:sz="0" w:space="0" w:color="auto"/>
        <w:right w:val="none" w:sz="0" w:space="0" w:color="auto"/>
      </w:divBdr>
    </w:div>
    <w:div w:id="2012099721">
      <w:bodyDiv w:val="1"/>
      <w:marLeft w:val="0"/>
      <w:marRight w:val="0"/>
      <w:marTop w:val="0"/>
      <w:marBottom w:val="0"/>
      <w:divBdr>
        <w:top w:val="none" w:sz="0" w:space="0" w:color="auto"/>
        <w:left w:val="none" w:sz="0" w:space="0" w:color="auto"/>
        <w:bottom w:val="none" w:sz="0" w:space="0" w:color="auto"/>
        <w:right w:val="none" w:sz="0" w:space="0" w:color="auto"/>
      </w:divBdr>
      <w:divsChild>
        <w:div w:id="66420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lendak@uns.ac.rs" TargetMode="External"/><Relationship Id="rId3" Type="http://schemas.openxmlformats.org/officeDocument/2006/relationships/settings" Target="settings.xml"/><Relationship Id="rId7" Type="http://schemas.openxmlformats.org/officeDocument/2006/relationships/hyperlink" Target="mailto:hanna.lindberg@tuni.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C3C4-CD60-4FD8-9FE7-D9B6FF5E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619</Words>
  <Characters>3286</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Hanna Lindberg</cp:lastModifiedBy>
  <cp:revision>4</cp:revision>
  <dcterms:created xsi:type="dcterms:W3CDTF">2020-10-30T07:56:00Z</dcterms:created>
  <dcterms:modified xsi:type="dcterms:W3CDTF">2020-10-30T08:22:00Z</dcterms:modified>
</cp:coreProperties>
</file>