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EB01" w14:textId="6D6388E5" w:rsidR="004F7409" w:rsidRPr="00091FC3" w:rsidRDefault="004F7409" w:rsidP="00807B12">
      <w:pPr>
        <w:spacing w:line="240" w:lineRule="auto"/>
        <w:rPr>
          <w:b/>
          <w:bCs/>
          <w:sz w:val="28"/>
          <w:szCs w:val="28"/>
          <w:lang w:val="en-US"/>
        </w:rPr>
      </w:pPr>
      <w:r w:rsidRPr="00091FC3">
        <w:rPr>
          <w:b/>
          <w:bCs/>
          <w:sz w:val="28"/>
          <w:szCs w:val="28"/>
          <w:lang w:val="en-US"/>
        </w:rPr>
        <w:t xml:space="preserve">Gender, religion and social </w:t>
      </w:r>
      <w:r w:rsidR="0076493D" w:rsidRPr="00091FC3">
        <w:rPr>
          <w:b/>
          <w:bCs/>
          <w:sz w:val="28"/>
          <w:szCs w:val="28"/>
          <w:lang w:val="en-US"/>
        </w:rPr>
        <w:t>work</w:t>
      </w:r>
      <w:r w:rsidRPr="00091FC3">
        <w:rPr>
          <w:b/>
          <w:bCs/>
          <w:sz w:val="28"/>
          <w:szCs w:val="28"/>
          <w:lang w:val="en-US"/>
        </w:rPr>
        <w:t xml:space="preserve"> in the formation of European welfare </w:t>
      </w:r>
      <w:r w:rsidR="002073B8" w:rsidRPr="00091FC3">
        <w:rPr>
          <w:b/>
          <w:bCs/>
          <w:sz w:val="28"/>
          <w:szCs w:val="28"/>
          <w:lang w:val="en-US"/>
        </w:rPr>
        <w:t>provision</w:t>
      </w:r>
      <w:r w:rsidRPr="00091FC3">
        <w:rPr>
          <w:b/>
          <w:bCs/>
          <w:sz w:val="28"/>
          <w:szCs w:val="28"/>
          <w:lang w:val="en-US"/>
        </w:rPr>
        <w:t xml:space="preserve">, </w:t>
      </w:r>
      <w:r w:rsidR="0076493D" w:rsidRPr="00091FC3">
        <w:rPr>
          <w:b/>
          <w:bCs/>
          <w:sz w:val="28"/>
          <w:szCs w:val="28"/>
          <w:lang w:val="en-US"/>
        </w:rPr>
        <w:t>19</w:t>
      </w:r>
      <w:r w:rsidR="0076493D" w:rsidRPr="00091FC3">
        <w:rPr>
          <w:b/>
          <w:bCs/>
          <w:sz w:val="28"/>
          <w:szCs w:val="28"/>
          <w:vertAlign w:val="superscript"/>
          <w:lang w:val="en-US"/>
        </w:rPr>
        <w:t>th</w:t>
      </w:r>
      <w:r w:rsidR="0076493D" w:rsidRPr="00091FC3">
        <w:rPr>
          <w:b/>
          <w:bCs/>
          <w:sz w:val="28"/>
          <w:szCs w:val="28"/>
          <w:lang w:val="en-US"/>
        </w:rPr>
        <w:t xml:space="preserve"> and 20</w:t>
      </w:r>
      <w:r w:rsidR="0076493D" w:rsidRPr="00091FC3">
        <w:rPr>
          <w:b/>
          <w:bCs/>
          <w:sz w:val="28"/>
          <w:szCs w:val="28"/>
          <w:vertAlign w:val="superscript"/>
          <w:lang w:val="en-US"/>
        </w:rPr>
        <w:t>th</w:t>
      </w:r>
      <w:r w:rsidR="0076493D" w:rsidRPr="00091FC3">
        <w:rPr>
          <w:b/>
          <w:bCs/>
          <w:sz w:val="28"/>
          <w:szCs w:val="28"/>
          <w:lang w:val="en-US"/>
        </w:rPr>
        <w:t xml:space="preserve"> centuries</w:t>
      </w:r>
    </w:p>
    <w:p w14:paraId="76171DEB" w14:textId="77777777" w:rsidR="0076493D" w:rsidRPr="00091FC3" w:rsidRDefault="0076493D" w:rsidP="00807B12">
      <w:pPr>
        <w:spacing w:line="240" w:lineRule="auto"/>
        <w:rPr>
          <w:b/>
          <w:bCs/>
          <w:sz w:val="28"/>
          <w:szCs w:val="28"/>
          <w:lang w:val="en-US"/>
        </w:rPr>
      </w:pPr>
    </w:p>
    <w:p w14:paraId="582E7528" w14:textId="578EC1C5" w:rsidR="004F7409" w:rsidRDefault="002073B8" w:rsidP="00807B12">
      <w:pPr>
        <w:spacing w:line="240" w:lineRule="auto"/>
        <w:rPr>
          <w:lang w:val="en-US"/>
        </w:rPr>
      </w:pPr>
      <w:r>
        <w:rPr>
          <w:lang w:val="en-US"/>
        </w:rPr>
        <w:t xml:space="preserve">A proposal of a </w:t>
      </w:r>
      <w:r w:rsidR="00D60261">
        <w:rPr>
          <w:lang w:val="en-US"/>
        </w:rPr>
        <w:t>S</w:t>
      </w:r>
      <w:r>
        <w:rPr>
          <w:lang w:val="en-US"/>
        </w:rPr>
        <w:t xml:space="preserve">pecial </w:t>
      </w:r>
      <w:r w:rsidR="00D60261">
        <w:rPr>
          <w:lang w:val="en-US"/>
        </w:rPr>
        <w:t>I</w:t>
      </w:r>
      <w:r>
        <w:rPr>
          <w:lang w:val="en-US"/>
        </w:rPr>
        <w:t>ssue to be edited by Pirjo Markkola and Dominika Gruziel</w:t>
      </w:r>
    </w:p>
    <w:p w14:paraId="3188C472" w14:textId="07677A21" w:rsidR="008F40E0" w:rsidRPr="004F7409" w:rsidRDefault="008F40E0" w:rsidP="00807B12">
      <w:pPr>
        <w:spacing w:line="240" w:lineRule="auto"/>
        <w:rPr>
          <w:lang w:val="en-US"/>
        </w:rPr>
      </w:pPr>
      <w:bookmarkStart w:id="0" w:name="_GoBack"/>
      <w:bookmarkEnd w:id="0"/>
    </w:p>
    <w:p w14:paraId="7D397631" w14:textId="4FE67A05" w:rsidR="006C6B8F" w:rsidRDefault="002073B8" w:rsidP="00807B12">
      <w:pPr>
        <w:spacing w:line="240" w:lineRule="auto"/>
        <w:rPr>
          <w:lang w:val="en-US"/>
        </w:rPr>
      </w:pPr>
      <w:r>
        <w:rPr>
          <w:lang w:val="en-US"/>
        </w:rPr>
        <w:t xml:space="preserve">In the </w:t>
      </w:r>
      <w:r w:rsidR="004562E4">
        <w:rPr>
          <w:lang w:val="en-US"/>
        </w:rPr>
        <w:t>19</w:t>
      </w:r>
      <w:r w:rsidR="004562E4" w:rsidRPr="004562E4">
        <w:rPr>
          <w:vertAlign w:val="superscript"/>
          <w:lang w:val="en-US"/>
        </w:rPr>
        <w:t>th</w:t>
      </w:r>
      <w:r w:rsidR="004562E4">
        <w:rPr>
          <w:lang w:val="en-US"/>
        </w:rPr>
        <w:t xml:space="preserve"> </w:t>
      </w:r>
      <w:r>
        <w:rPr>
          <w:lang w:val="en-US"/>
        </w:rPr>
        <w:t xml:space="preserve">century, fundamental changes in welfare provision took place in Europe. The relations between the state and the churches were often renegotiated and the role of the state and other non-religious providers of welfare </w:t>
      </w:r>
      <w:r w:rsidR="00015B16">
        <w:rPr>
          <w:lang w:val="en-US"/>
        </w:rPr>
        <w:t>strengthen</w:t>
      </w:r>
      <w:r>
        <w:rPr>
          <w:lang w:val="en-US"/>
        </w:rPr>
        <w:t xml:space="preserve">ed. However, church-based charities remained and expanded as well. </w:t>
      </w:r>
      <w:r w:rsidR="00457A68">
        <w:rPr>
          <w:lang w:val="en-US"/>
        </w:rPr>
        <w:t>For example, t</w:t>
      </w:r>
      <w:r>
        <w:rPr>
          <w:lang w:val="en-US"/>
        </w:rPr>
        <w:t>he German education of deaconesses was introduced in the early 19</w:t>
      </w:r>
      <w:r w:rsidRPr="002073B8">
        <w:rPr>
          <w:vertAlign w:val="superscript"/>
          <w:lang w:val="en-US"/>
        </w:rPr>
        <w:t>th</w:t>
      </w:r>
      <w:r>
        <w:rPr>
          <w:lang w:val="en-US"/>
        </w:rPr>
        <w:t xml:space="preserve"> century as a Protestant response to </w:t>
      </w:r>
      <w:r w:rsidR="00457A68">
        <w:rPr>
          <w:lang w:val="en-US"/>
        </w:rPr>
        <w:t xml:space="preserve">the </w:t>
      </w:r>
      <w:r>
        <w:rPr>
          <w:lang w:val="en-US"/>
        </w:rPr>
        <w:t xml:space="preserve">better quality of nursing and social care provided by the Catholic institutions. Several minority churches offered their own networks of social care and an </w:t>
      </w:r>
      <w:r w:rsidR="00015B16">
        <w:rPr>
          <w:lang w:val="en-US"/>
        </w:rPr>
        <w:t xml:space="preserve">increasing number </w:t>
      </w:r>
      <w:r>
        <w:rPr>
          <w:lang w:val="en-US"/>
        </w:rPr>
        <w:t>of charities and philanthropic associat</w:t>
      </w:r>
      <w:r w:rsidR="00015B16">
        <w:rPr>
          <w:lang w:val="en-US"/>
        </w:rPr>
        <w:t>ions</w:t>
      </w:r>
      <w:r>
        <w:rPr>
          <w:lang w:val="en-US"/>
        </w:rPr>
        <w:t xml:space="preserve"> </w:t>
      </w:r>
      <w:r w:rsidR="00015B16">
        <w:rPr>
          <w:lang w:val="en-US"/>
        </w:rPr>
        <w:t xml:space="preserve">were founded </w:t>
      </w:r>
      <w:r w:rsidR="001041D4">
        <w:rPr>
          <w:lang w:val="en-US"/>
        </w:rPr>
        <w:t xml:space="preserve">all </w:t>
      </w:r>
      <w:r>
        <w:rPr>
          <w:lang w:val="en-US"/>
        </w:rPr>
        <w:t>over Europe.</w:t>
      </w:r>
      <w:r w:rsidR="001041D4">
        <w:rPr>
          <w:lang w:val="en-US"/>
        </w:rPr>
        <w:t xml:space="preserve"> The secular provision of welfare was </w:t>
      </w:r>
      <w:r w:rsidR="00015B16">
        <w:rPr>
          <w:lang w:val="en-US"/>
        </w:rPr>
        <w:t xml:space="preserve">often shaped by </w:t>
      </w:r>
      <w:r w:rsidR="001041D4">
        <w:rPr>
          <w:lang w:val="en-US"/>
        </w:rPr>
        <w:t xml:space="preserve">the cultural context of the majority churches. </w:t>
      </w:r>
      <w:r w:rsidR="004F7409" w:rsidRPr="00A96BE1">
        <w:rPr>
          <w:lang w:val="en-US"/>
        </w:rPr>
        <w:t xml:space="preserve">In recent years, comparative scholarship on religion and the state </w:t>
      </w:r>
      <w:r w:rsidR="001041D4">
        <w:rPr>
          <w:lang w:val="en-US"/>
        </w:rPr>
        <w:t xml:space="preserve">has </w:t>
      </w:r>
      <w:r w:rsidR="00015B16">
        <w:rPr>
          <w:lang w:val="en-US"/>
        </w:rPr>
        <w:t xml:space="preserve">explored </w:t>
      </w:r>
      <w:r w:rsidR="004F7409" w:rsidRPr="00A96BE1">
        <w:rPr>
          <w:lang w:val="en-US"/>
        </w:rPr>
        <w:t xml:space="preserve">the role of Christian denominations in the formation of </w:t>
      </w:r>
      <w:r w:rsidR="00443152">
        <w:rPr>
          <w:lang w:val="en-US"/>
        </w:rPr>
        <w:t xml:space="preserve">European </w:t>
      </w:r>
      <w:r w:rsidR="004F7409" w:rsidRPr="00A96BE1">
        <w:rPr>
          <w:lang w:val="en-US"/>
        </w:rPr>
        <w:t>welfare states</w:t>
      </w:r>
      <w:r w:rsidR="00443152">
        <w:rPr>
          <w:lang w:val="en-US"/>
        </w:rPr>
        <w:t xml:space="preserve">, and political outcomes deriving from differences between </w:t>
      </w:r>
      <w:r w:rsidR="00443152" w:rsidRPr="00613ABF">
        <w:rPr>
          <w:lang w:val="en-US"/>
        </w:rPr>
        <w:t xml:space="preserve">Catholic, Reformed and Lutheran </w:t>
      </w:r>
      <w:r w:rsidR="004562E4">
        <w:rPr>
          <w:lang w:val="en-US"/>
        </w:rPr>
        <w:t>traditions</w:t>
      </w:r>
      <w:r w:rsidR="00443152">
        <w:rPr>
          <w:lang w:val="en-US"/>
        </w:rPr>
        <w:t xml:space="preserve"> have been outlined</w:t>
      </w:r>
      <w:r w:rsidR="004F7409" w:rsidRPr="00A96BE1">
        <w:rPr>
          <w:lang w:val="en-US"/>
        </w:rPr>
        <w:t>.</w:t>
      </w:r>
      <w:r w:rsidR="004F7409">
        <w:rPr>
          <w:rStyle w:val="FootnoteReference"/>
          <w:lang w:val="en-US"/>
        </w:rPr>
        <w:footnoteReference w:id="1"/>
      </w:r>
      <w:r w:rsidR="004F7409" w:rsidRPr="00A96BE1">
        <w:rPr>
          <w:lang w:val="en-US"/>
        </w:rPr>
        <w:t xml:space="preserve"> </w:t>
      </w:r>
      <w:r w:rsidR="00443152">
        <w:rPr>
          <w:lang w:val="en-US"/>
        </w:rPr>
        <w:t xml:space="preserve">Still, </w:t>
      </w:r>
      <w:r w:rsidR="00D60261">
        <w:rPr>
          <w:lang w:val="en-US"/>
        </w:rPr>
        <w:t xml:space="preserve">when it comes to </w:t>
      </w:r>
      <w:r w:rsidR="0076493D">
        <w:rPr>
          <w:lang w:val="en-US"/>
        </w:rPr>
        <w:t xml:space="preserve">the history of </w:t>
      </w:r>
      <w:r w:rsidR="00D60261">
        <w:rPr>
          <w:lang w:val="en-US"/>
        </w:rPr>
        <w:t>social</w:t>
      </w:r>
      <w:r w:rsidR="0076493D">
        <w:rPr>
          <w:lang w:val="en-US"/>
        </w:rPr>
        <w:t xml:space="preserve"> work (care)</w:t>
      </w:r>
      <w:r w:rsidR="00D60261">
        <w:rPr>
          <w:lang w:val="en-US"/>
        </w:rPr>
        <w:t xml:space="preserve">, </w:t>
      </w:r>
      <w:r w:rsidR="00443152">
        <w:rPr>
          <w:lang w:val="en-US"/>
        </w:rPr>
        <w:t>the religious landscape of Europe</w:t>
      </w:r>
      <w:r w:rsidR="00D60261">
        <w:rPr>
          <w:lang w:val="en-US"/>
        </w:rPr>
        <w:t xml:space="preserve"> needs to be nuanced.</w:t>
      </w:r>
    </w:p>
    <w:p w14:paraId="3B8070F8" w14:textId="6B6B7470" w:rsidR="00D60261" w:rsidRDefault="00D60261" w:rsidP="00807B12">
      <w:pPr>
        <w:spacing w:line="240" w:lineRule="auto"/>
        <w:rPr>
          <w:lang w:val="en-US"/>
        </w:rPr>
      </w:pPr>
      <w:r>
        <w:rPr>
          <w:lang w:val="en-US"/>
        </w:rPr>
        <w:t xml:space="preserve">In terms of gender history, charities and care are often associated with women. There is a </w:t>
      </w:r>
      <w:r w:rsidR="003C3BFB">
        <w:rPr>
          <w:lang w:val="en-US"/>
        </w:rPr>
        <w:t xml:space="preserve">strong </w:t>
      </w:r>
      <w:r>
        <w:rPr>
          <w:lang w:val="en-US"/>
        </w:rPr>
        <w:t>scholar</w:t>
      </w:r>
      <w:r w:rsidR="003C3BFB">
        <w:rPr>
          <w:lang w:val="en-US"/>
        </w:rPr>
        <w:t>ship on women and religious charities, social work and nursing showing the ways in which women throughout Europe and beyond were engaged in various forms of social work</w:t>
      </w:r>
      <w:r w:rsidR="004562E4">
        <w:rPr>
          <w:lang w:val="en-US"/>
        </w:rPr>
        <w:t>. Some scholars argue that the feminization of charities can be dated to the 19</w:t>
      </w:r>
      <w:r w:rsidR="004562E4" w:rsidRPr="004562E4">
        <w:rPr>
          <w:vertAlign w:val="superscript"/>
          <w:lang w:val="en-US"/>
        </w:rPr>
        <w:t>th</w:t>
      </w:r>
      <w:r w:rsidR="004562E4">
        <w:rPr>
          <w:lang w:val="en-US"/>
        </w:rPr>
        <w:t xml:space="preserve"> century whereas some others stress the early public social welfare as a domain taken over by male civil servants</w:t>
      </w:r>
      <w:r w:rsidR="003C3BFB">
        <w:rPr>
          <w:lang w:val="en-US"/>
        </w:rPr>
        <w:t>.</w:t>
      </w:r>
      <w:r w:rsidR="003C3BFB">
        <w:rPr>
          <w:rStyle w:val="FootnoteReference"/>
          <w:lang w:val="en-US"/>
        </w:rPr>
        <w:footnoteReference w:id="2"/>
      </w:r>
      <w:r>
        <w:rPr>
          <w:lang w:val="en-US"/>
        </w:rPr>
        <w:t xml:space="preserve"> However, less is known about </w:t>
      </w:r>
      <w:r w:rsidR="004562E4">
        <w:rPr>
          <w:lang w:val="en-US"/>
        </w:rPr>
        <w:t>the male arenas of religious social work or the female involvement in the early formation of public social care</w:t>
      </w:r>
      <w:r w:rsidR="00CE7369">
        <w:rPr>
          <w:lang w:val="en-US"/>
        </w:rPr>
        <w:t xml:space="preserve"> in various parts of Europe</w:t>
      </w:r>
      <w:r w:rsidR="004562E4">
        <w:rPr>
          <w:lang w:val="en-US"/>
        </w:rPr>
        <w:t>.</w:t>
      </w:r>
    </w:p>
    <w:p w14:paraId="2F753009" w14:textId="7FF60717" w:rsidR="00807B12" w:rsidRDefault="00807B12" w:rsidP="00807B12">
      <w:pPr>
        <w:spacing w:line="240" w:lineRule="auto"/>
        <w:rPr>
          <w:lang w:val="en-US"/>
        </w:rPr>
      </w:pPr>
      <w:r>
        <w:rPr>
          <w:lang w:val="en-US"/>
        </w:rPr>
        <w:t xml:space="preserve">We find it important to explore the gendering formation of social </w:t>
      </w:r>
      <w:r w:rsidR="0076493D">
        <w:rPr>
          <w:lang w:val="en-US"/>
        </w:rPr>
        <w:t>work (care)</w:t>
      </w:r>
      <w:r>
        <w:rPr>
          <w:lang w:val="en-US"/>
        </w:rPr>
        <w:t xml:space="preserve"> both in </w:t>
      </w:r>
      <w:r w:rsidR="00CE7369">
        <w:rPr>
          <w:lang w:val="en-US"/>
        </w:rPr>
        <w:t xml:space="preserve">different </w:t>
      </w:r>
      <w:r>
        <w:rPr>
          <w:lang w:val="en-US"/>
        </w:rPr>
        <w:t>religious contexts as well as secular contexts influenced by religious traditions</w:t>
      </w:r>
      <w:r w:rsidR="0076493D">
        <w:rPr>
          <w:lang w:val="en-US"/>
        </w:rPr>
        <w:t xml:space="preserve"> in Europe</w:t>
      </w:r>
      <w:r>
        <w:rPr>
          <w:lang w:val="en-US"/>
        </w:rPr>
        <w:t>. European</w:t>
      </w:r>
      <w:r w:rsidR="00A60563">
        <w:rPr>
          <w:lang w:val="en-US"/>
        </w:rPr>
        <w:t xml:space="preserve"> religious</w:t>
      </w:r>
      <w:r>
        <w:rPr>
          <w:lang w:val="en-US"/>
        </w:rPr>
        <w:t xml:space="preserve"> history is not only Catholic or Protestant but also Orthodox, Jewish and Muslim</w:t>
      </w:r>
      <w:r w:rsidR="00A60563">
        <w:rPr>
          <w:lang w:val="en-US"/>
        </w:rPr>
        <w:t>, among others</w:t>
      </w:r>
      <w:r w:rsidR="00FD5A8D">
        <w:rPr>
          <w:lang w:val="en-US"/>
        </w:rPr>
        <w:t>, and the Protestants</w:t>
      </w:r>
      <w:proofErr w:type="gramStart"/>
      <w:r w:rsidR="00FD5A8D">
        <w:rPr>
          <w:lang w:val="en-US"/>
        </w:rPr>
        <w:t xml:space="preserve">, in particular, </w:t>
      </w:r>
      <w:r w:rsidR="0076493D">
        <w:rPr>
          <w:lang w:val="en-US"/>
        </w:rPr>
        <w:t>have</w:t>
      </w:r>
      <w:proofErr w:type="gramEnd"/>
      <w:r w:rsidR="0076493D">
        <w:rPr>
          <w:lang w:val="en-US"/>
        </w:rPr>
        <w:t xml:space="preserve"> been </w:t>
      </w:r>
      <w:r w:rsidR="00FD5A8D">
        <w:rPr>
          <w:lang w:val="en-US"/>
        </w:rPr>
        <w:t>divided into several churches and fractions</w:t>
      </w:r>
      <w:r>
        <w:rPr>
          <w:lang w:val="en-US"/>
        </w:rPr>
        <w:t xml:space="preserve">. </w:t>
      </w:r>
      <w:r w:rsidR="00FD5A8D">
        <w:rPr>
          <w:lang w:val="en-US"/>
        </w:rPr>
        <w:t xml:space="preserve">Some of them have been majority churches with strong ties </w:t>
      </w:r>
      <w:r w:rsidR="0076493D">
        <w:rPr>
          <w:lang w:val="en-US"/>
        </w:rPr>
        <w:t>to</w:t>
      </w:r>
      <w:r w:rsidR="00FD5A8D">
        <w:rPr>
          <w:lang w:val="en-US"/>
        </w:rPr>
        <w:t xml:space="preserve"> the state or a tensed </w:t>
      </w:r>
      <w:r w:rsidR="00CE7369">
        <w:rPr>
          <w:lang w:val="en-US"/>
        </w:rPr>
        <w:t xml:space="preserve">or even hostile </w:t>
      </w:r>
      <w:r w:rsidR="00FD5A8D">
        <w:rPr>
          <w:lang w:val="en-US"/>
        </w:rPr>
        <w:t>relationship with the state; some others have been minority churches with sometimes problematic relations to the state. In terms of social care, a</w:t>
      </w:r>
      <w:r w:rsidR="00A60563">
        <w:rPr>
          <w:lang w:val="en-US"/>
        </w:rPr>
        <w:t xml:space="preserve">ll </w:t>
      </w:r>
      <w:r>
        <w:rPr>
          <w:lang w:val="en-US"/>
        </w:rPr>
        <w:t xml:space="preserve">denominations </w:t>
      </w:r>
      <w:r w:rsidR="00A60563">
        <w:rPr>
          <w:lang w:val="en-US"/>
        </w:rPr>
        <w:t>have represented differing and changing voices. Moreover, the ways in which understandings of gender relations have taken shape vary over time and between denominations.</w:t>
      </w:r>
    </w:p>
    <w:p w14:paraId="23A41469" w14:textId="30CAEDAB" w:rsidR="004F7409" w:rsidRDefault="00A60563" w:rsidP="00807B12">
      <w:pPr>
        <w:tabs>
          <w:tab w:val="right" w:pos="8306"/>
        </w:tabs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We invite members of the Cost Action as well as other scholars to </w:t>
      </w:r>
      <w:r w:rsidR="00FD5A8D">
        <w:rPr>
          <w:lang w:val="en-US"/>
        </w:rPr>
        <w:t>a brainstorming session on</w:t>
      </w:r>
      <w:r>
        <w:rPr>
          <w:lang w:val="en-US"/>
        </w:rPr>
        <w:t xml:space="preserve"> a special issue on gender, religion and social </w:t>
      </w:r>
      <w:r w:rsidR="0076493D">
        <w:rPr>
          <w:lang w:val="en-US"/>
        </w:rPr>
        <w:t>work (care)</w:t>
      </w:r>
      <w:r>
        <w:rPr>
          <w:lang w:val="en-US"/>
        </w:rPr>
        <w:t xml:space="preserve"> in 19</w:t>
      </w:r>
      <w:r w:rsidRPr="00A60563">
        <w:rPr>
          <w:vertAlign w:val="superscript"/>
          <w:lang w:val="en-US"/>
        </w:rPr>
        <w:t>th</w:t>
      </w:r>
      <w:r>
        <w:rPr>
          <w:lang w:val="en-US"/>
        </w:rPr>
        <w:t xml:space="preserve"> and 20</w:t>
      </w:r>
      <w:r w:rsidRPr="00A60563">
        <w:rPr>
          <w:vertAlign w:val="superscript"/>
          <w:lang w:val="en-US"/>
        </w:rPr>
        <w:t>th</w:t>
      </w:r>
      <w:r>
        <w:rPr>
          <w:lang w:val="en-US"/>
        </w:rPr>
        <w:t xml:space="preserve"> century Europe.</w:t>
      </w:r>
      <w:r w:rsidR="00FD5A8D">
        <w:rPr>
          <w:lang w:val="en-US"/>
        </w:rPr>
        <w:t xml:space="preserve"> </w:t>
      </w:r>
      <w:r w:rsidR="0076493D">
        <w:rPr>
          <w:lang w:val="en-US"/>
        </w:rPr>
        <w:t>We aim at addressing the following questions, among others: How w</w:t>
      </w:r>
      <w:r w:rsidR="0006712B">
        <w:rPr>
          <w:lang w:val="en-US"/>
        </w:rPr>
        <w:t>as</w:t>
      </w:r>
      <w:r w:rsidR="0076493D">
        <w:rPr>
          <w:lang w:val="en-US"/>
        </w:rPr>
        <w:t xml:space="preserve"> gender</w:t>
      </w:r>
      <w:r w:rsidR="00857A8B">
        <w:rPr>
          <w:lang w:val="en-US"/>
        </w:rPr>
        <w:t>ed</w:t>
      </w:r>
      <w:r w:rsidR="0076493D">
        <w:rPr>
          <w:lang w:val="en-US"/>
        </w:rPr>
        <w:t xml:space="preserve"> social care </w:t>
      </w:r>
      <w:r w:rsidR="00857A8B">
        <w:rPr>
          <w:lang w:val="en-US"/>
        </w:rPr>
        <w:t xml:space="preserve">constructed, experienced and </w:t>
      </w:r>
      <w:r w:rsidR="0076493D">
        <w:rPr>
          <w:lang w:val="en-US"/>
        </w:rPr>
        <w:t xml:space="preserve">understood in </w:t>
      </w:r>
      <w:r w:rsidR="00CE7369">
        <w:rPr>
          <w:lang w:val="en-US"/>
        </w:rPr>
        <w:t>different</w:t>
      </w:r>
      <w:r w:rsidR="0076493D">
        <w:rPr>
          <w:lang w:val="en-US"/>
        </w:rPr>
        <w:t xml:space="preserve"> religious settings? </w:t>
      </w:r>
      <w:r w:rsidR="00CE7369">
        <w:rPr>
          <w:lang w:val="en-US"/>
        </w:rPr>
        <w:t xml:space="preserve">What kind of male and female arenas of social work were </w:t>
      </w:r>
      <w:r w:rsidR="001A219C">
        <w:rPr>
          <w:lang w:val="en-US"/>
        </w:rPr>
        <w:t>promot</w:t>
      </w:r>
      <w:r w:rsidR="00CE7369">
        <w:rPr>
          <w:lang w:val="en-US"/>
        </w:rPr>
        <w:t xml:space="preserve">ed </w:t>
      </w:r>
      <w:r w:rsidR="001A219C">
        <w:rPr>
          <w:lang w:val="en-US"/>
        </w:rPr>
        <w:t xml:space="preserve">or discouraged </w:t>
      </w:r>
      <w:r w:rsidR="00CE7369">
        <w:rPr>
          <w:lang w:val="en-US"/>
        </w:rPr>
        <w:t>in religious contexts? Did religious understandings assign lay men and women differing position</w:t>
      </w:r>
      <w:r w:rsidR="00857A8B">
        <w:rPr>
          <w:lang w:val="en-US"/>
        </w:rPr>
        <w:t>s</w:t>
      </w:r>
      <w:r w:rsidR="00CE7369">
        <w:rPr>
          <w:lang w:val="en-US"/>
        </w:rPr>
        <w:t xml:space="preserve"> in social work? How were </w:t>
      </w:r>
      <w:r w:rsidR="00857A8B">
        <w:rPr>
          <w:lang w:val="en-US"/>
        </w:rPr>
        <w:t>lay people</w:t>
      </w:r>
      <w:r w:rsidR="00CE7369">
        <w:rPr>
          <w:lang w:val="en-US"/>
        </w:rPr>
        <w:t xml:space="preserve"> </w:t>
      </w:r>
      <w:r w:rsidR="001A219C">
        <w:rPr>
          <w:lang w:val="en-US"/>
        </w:rPr>
        <w:t xml:space="preserve">seen vis-á-vis </w:t>
      </w:r>
      <w:r w:rsidR="00CE7369">
        <w:rPr>
          <w:lang w:val="en-US"/>
        </w:rPr>
        <w:t xml:space="preserve">the clergy? </w:t>
      </w:r>
      <w:r w:rsidR="00B81710">
        <w:rPr>
          <w:lang w:val="en-US"/>
        </w:rPr>
        <w:t xml:space="preserve">How were </w:t>
      </w:r>
      <w:r w:rsidR="001A219C">
        <w:rPr>
          <w:lang w:val="en-US"/>
        </w:rPr>
        <w:t xml:space="preserve">relations between </w:t>
      </w:r>
      <w:r w:rsidR="00B81710">
        <w:rPr>
          <w:lang w:val="en-US"/>
        </w:rPr>
        <w:t xml:space="preserve">religious </w:t>
      </w:r>
      <w:r w:rsidR="009A7C6C">
        <w:rPr>
          <w:lang w:val="en-US"/>
        </w:rPr>
        <w:t>actors</w:t>
      </w:r>
      <w:r w:rsidR="00B81710">
        <w:rPr>
          <w:lang w:val="en-US"/>
        </w:rPr>
        <w:t xml:space="preserve"> </w:t>
      </w:r>
      <w:r w:rsidR="001A219C">
        <w:rPr>
          <w:lang w:val="en-US"/>
        </w:rPr>
        <w:t xml:space="preserve">and </w:t>
      </w:r>
      <w:r w:rsidR="00B81710">
        <w:rPr>
          <w:lang w:val="en-US"/>
        </w:rPr>
        <w:t>the state authorities</w:t>
      </w:r>
      <w:r w:rsidR="001A219C">
        <w:rPr>
          <w:lang w:val="en-US"/>
        </w:rPr>
        <w:t xml:space="preserve"> constructed</w:t>
      </w:r>
      <w:r w:rsidR="00B81710">
        <w:rPr>
          <w:lang w:val="en-US"/>
        </w:rPr>
        <w:t xml:space="preserve">? </w:t>
      </w:r>
      <w:r w:rsidR="001A219C">
        <w:rPr>
          <w:lang w:val="en-US"/>
        </w:rPr>
        <w:t>We</w:t>
      </w:r>
      <w:r w:rsidR="00857A8B">
        <w:rPr>
          <w:lang w:val="en-US"/>
        </w:rPr>
        <w:t xml:space="preserve">re there examples of competition, cooperation or compromises between various actors? What kind of spaces of experience and horizons of expectations were formed in the field of social welfare? </w:t>
      </w:r>
      <w:r w:rsidR="0006712B" w:rsidRPr="0006712B">
        <w:rPr>
          <w:lang w:val="en-US"/>
        </w:rPr>
        <w:t>How d</w:t>
      </w:r>
      <w:r w:rsidR="0006712B">
        <w:rPr>
          <w:lang w:val="en-US"/>
        </w:rPr>
        <w:t>id</w:t>
      </w:r>
      <w:r w:rsidR="0006712B" w:rsidRPr="0006712B">
        <w:rPr>
          <w:lang w:val="en-US"/>
        </w:rPr>
        <w:t xml:space="preserve"> religiously motivated gendered actors conceptualize their activism?</w:t>
      </w:r>
      <w:r w:rsidR="0006712B">
        <w:rPr>
          <w:lang w:val="en-US"/>
        </w:rPr>
        <w:t xml:space="preserve"> We</w:t>
      </w:r>
      <w:r w:rsidR="00857A8B">
        <w:rPr>
          <w:lang w:val="en-US"/>
        </w:rPr>
        <w:t xml:space="preserve"> </w:t>
      </w:r>
      <w:r w:rsidR="00B81710">
        <w:rPr>
          <w:lang w:val="en-US"/>
        </w:rPr>
        <w:t xml:space="preserve">also </w:t>
      </w:r>
      <w:r w:rsidR="0006712B">
        <w:rPr>
          <w:lang w:val="en-US"/>
        </w:rPr>
        <w:t xml:space="preserve">welcome </w:t>
      </w:r>
      <w:r w:rsidR="0006712B" w:rsidRPr="0006712B">
        <w:rPr>
          <w:lang w:val="en-US"/>
        </w:rPr>
        <w:t xml:space="preserve">investigations </w:t>
      </w:r>
      <w:r w:rsidR="00857A8B">
        <w:rPr>
          <w:lang w:val="en-US"/>
        </w:rPr>
        <w:t xml:space="preserve">of </w:t>
      </w:r>
      <w:r w:rsidR="0006712B" w:rsidRPr="0006712B">
        <w:rPr>
          <w:lang w:val="en-US"/>
        </w:rPr>
        <w:t xml:space="preserve">historically </w:t>
      </w:r>
      <w:r w:rsidR="00B81710">
        <w:rPr>
          <w:lang w:val="en-US"/>
        </w:rPr>
        <w:t xml:space="preserve">and contextually </w:t>
      </w:r>
      <w:r w:rsidR="0006712B" w:rsidRPr="0006712B">
        <w:rPr>
          <w:lang w:val="en-US"/>
        </w:rPr>
        <w:t xml:space="preserve">changing </w:t>
      </w:r>
      <w:r w:rsidR="00B81710">
        <w:rPr>
          <w:lang w:val="en-US"/>
        </w:rPr>
        <w:t>concepts</w:t>
      </w:r>
      <w:r w:rsidR="0006712B" w:rsidRPr="0006712B">
        <w:rPr>
          <w:lang w:val="en-US"/>
        </w:rPr>
        <w:t xml:space="preserve"> of care, social work, social welfare or social care</w:t>
      </w:r>
      <w:r w:rsidR="00B81710">
        <w:rPr>
          <w:lang w:val="en-US"/>
        </w:rPr>
        <w:t xml:space="preserve"> as one of the </w:t>
      </w:r>
      <w:r w:rsidR="001A219C">
        <w:rPr>
          <w:lang w:val="en-US"/>
        </w:rPr>
        <w:t>issues</w:t>
      </w:r>
      <w:r w:rsidR="00B81710">
        <w:rPr>
          <w:lang w:val="en-US"/>
        </w:rPr>
        <w:t xml:space="preserve"> to be analyzed.</w:t>
      </w:r>
    </w:p>
    <w:p w14:paraId="29A4B2F1" w14:textId="1EE3BC02" w:rsidR="00FD5A8D" w:rsidRDefault="00FD5A8D" w:rsidP="00807B12">
      <w:pPr>
        <w:tabs>
          <w:tab w:val="right" w:pos="8306"/>
        </w:tabs>
        <w:spacing w:line="240" w:lineRule="auto"/>
        <w:jc w:val="both"/>
        <w:rPr>
          <w:lang w:val="en-US"/>
        </w:rPr>
      </w:pPr>
      <w:r w:rsidRPr="00FD5A8D">
        <w:rPr>
          <w:lang w:val="en-US"/>
        </w:rPr>
        <w:t>If you wish to participate in the planning of the special issue at the Cost Action</w:t>
      </w:r>
      <w:r w:rsidR="001A219C">
        <w:rPr>
          <w:lang w:val="en-US"/>
        </w:rPr>
        <w:t xml:space="preserve"> online </w:t>
      </w:r>
      <w:r w:rsidRPr="00FD5A8D">
        <w:rPr>
          <w:lang w:val="en-US"/>
        </w:rPr>
        <w:t>meeting in December 14 to 16, please send a short description of your idea</w:t>
      </w:r>
      <w:r>
        <w:rPr>
          <w:lang w:val="en-US"/>
        </w:rPr>
        <w:t>s (ca 300 words) to Pirjo Markkola (</w:t>
      </w:r>
      <w:hyperlink r:id="rId7" w:history="1">
        <w:r w:rsidRPr="003A3C6F">
          <w:rPr>
            <w:rStyle w:val="Hyperlink"/>
            <w:lang w:val="en-US"/>
          </w:rPr>
          <w:t>pirjo.markkola@tuni.fi</w:t>
        </w:r>
      </w:hyperlink>
      <w:r>
        <w:rPr>
          <w:lang w:val="en-US"/>
        </w:rPr>
        <w:t>) and Dominika Gruziel (</w:t>
      </w:r>
      <w:hyperlink r:id="rId8" w:history="1">
        <w:r w:rsidRPr="003A3C6F">
          <w:rPr>
            <w:rStyle w:val="Hyperlink"/>
            <w:lang w:val="en-US"/>
          </w:rPr>
          <w:t>dominika.gruziel@eui.eu</w:t>
        </w:r>
      </w:hyperlink>
      <w:r>
        <w:rPr>
          <w:lang w:val="en-US"/>
        </w:rPr>
        <w:t xml:space="preserve">) by December 2. </w:t>
      </w:r>
      <w:r w:rsidR="00B81710">
        <w:rPr>
          <w:lang w:val="en-US"/>
        </w:rPr>
        <w:t xml:space="preserve">Please, feel free to </w:t>
      </w:r>
      <w:r>
        <w:rPr>
          <w:lang w:val="en-US"/>
        </w:rPr>
        <w:t>contact us for more information.</w:t>
      </w:r>
    </w:p>
    <w:p w14:paraId="51716824" w14:textId="77777777" w:rsidR="00CE7369" w:rsidRPr="00FD5A8D" w:rsidRDefault="00CE7369" w:rsidP="00807B12">
      <w:pPr>
        <w:tabs>
          <w:tab w:val="right" w:pos="8306"/>
        </w:tabs>
        <w:spacing w:line="240" w:lineRule="auto"/>
        <w:jc w:val="both"/>
        <w:rPr>
          <w:lang w:val="en-US"/>
        </w:rPr>
      </w:pPr>
    </w:p>
    <w:sectPr w:rsidR="00CE7369" w:rsidRPr="00FD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586D" w14:textId="77777777" w:rsidR="004F7409" w:rsidRDefault="004F7409" w:rsidP="004F7409">
      <w:pPr>
        <w:spacing w:after="0" w:line="240" w:lineRule="auto"/>
      </w:pPr>
      <w:r>
        <w:separator/>
      </w:r>
    </w:p>
  </w:endnote>
  <w:endnote w:type="continuationSeparator" w:id="0">
    <w:p w14:paraId="5365AEC5" w14:textId="77777777" w:rsidR="004F7409" w:rsidRDefault="004F7409" w:rsidP="004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9156" w14:textId="77777777" w:rsidR="004F7409" w:rsidRDefault="004F7409" w:rsidP="004F7409">
      <w:pPr>
        <w:spacing w:after="0" w:line="240" w:lineRule="auto"/>
      </w:pPr>
      <w:r>
        <w:separator/>
      </w:r>
    </w:p>
  </w:footnote>
  <w:footnote w:type="continuationSeparator" w:id="0">
    <w:p w14:paraId="060890AB" w14:textId="77777777" w:rsidR="004F7409" w:rsidRDefault="004F7409" w:rsidP="004F7409">
      <w:pPr>
        <w:spacing w:after="0" w:line="240" w:lineRule="auto"/>
      </w:pPr>
      <w:r>
        <w:continuationSeparator/>
      </w:r>
    </w:p>
  </w:footnote>
  <w:footnote w:id="1">
    <w:p w14:paraId="63DB78FC" w14:textId="29538590" w:rsidR="004F7409" w:rsidRDefault="004F7409" w:rsidP="004F7409">
      <w:pPr>
        <w:pStyle w:val="FootnoteText"/>
      </w:pPr>
      <w:r>
        <w:rPr>
          <w:rStyle w:val="FootnoteReference"/>
        </w:rPr>
        <w:footnoteRef/>
      </w:r>
      <w:r w:rsidRPr="001041D4">
        <w:rPr>
          <w:lang w:val="en-US"/>
        </w:rPr>
        <w:t xml:space="preserve"> </w:t>
      </w:r>
      <w:r w:rsidR="001041D4" w:rsidRPr="001041D4">
        <w:rPr>
          <w:lang w:val="en-US"/>
        </w:rPr>
        <w:t>e</w:t>
      </w:r>
      <w:r w:rsidR="001041D4">
        <w:rPr>
          <w:lang w:val="en-US"/>
        </w:rPr>
        <w:t xml:space="preserve">.g. </w:t>
      </w:r>
      <w:r w:rsidRPr="00860050">
        <w:rPr>
          <w:i/>
        </w:rPr>
        <w:t>Religion, Class Coalitions, and Welfare States</w:t>
      </w:r>
      <w:r w:rsidR="003C3BFB">
        <w:t xml:space="preserve">, ed. by </w:t>
      </w:r>
      <w:proofErr w:type="spellStart"/>
      <w:r w:rsidR="003C3BFB">
        <w:t>Kees</w:t>
      </w:r>
      <w:proofErr w:type="spellEnd"/>
      <w:r w:rsidR="003C3BFB">
        <w:t xml:space="preserve"> van </w:t>
      </w:r>
      <w:proofErr w:type="spellStart"/>
      <w:r w:rsidR="003C3BFB">
        <w:t>Kersbergen</w:t>
      </w:r>
      <w:proofErr w:type="spellEnd"/>
      <w:r w:rsidR="003C3BFB">
        <w:t xml:space="preserve"> &amp; Philip </w:t>
      </w:r>
      <w:proofErr w:type="spellStart"/>
      <w:r w:rsidR="003C3BFB">
        <w:t>Manow</w:t>
      </w:r>
      <w:proofErr w:type="spellEnd"/>
      <w:r w:rsidR="003C3BFB" w:rsidRPr="009D4E3B">
        <w:rPr>
          <w:i/>
        </w:rPr>
        <w:t xml:space="preserve"> </w:t>
      </w:r>
      <w:r>
        <w:t xml:space="preserve">(Cambridge: Cambridge University Press, 2009); </w:t>
      </w:r>
      <w:proofErr w:type="spellStart"/>
      <w:r>
        <w:t>Sigrun</w:t>
      </w:r>
      <w:proofErr w:type="spellEnd"/>
      <w:r>
        <w:t xml:space="preserve"> Kahl, “The religious roots of modern poverty policy: Catholic, Lutheran, and Reformed Protestant traditions compared,”</w:t>
      </w:r>
      <w:r w:rsidRPr="003A24B8">
        <w:rPr>
          <w:i/>
        </w:rPr>
        <w:t xml:space="preserve"> European Journal of Sociology,</w:t>
      </w:r>
      <w:r w:rsidRPr="00647F7B">
        <w:rPr>
          <w:i/>
        </w:rPr>
        <w:t xml:space="preserve"> </w:t>
      </w:r>
      <w:r w:rsidRPr="00AD1729">
        <w:t xml:space="preserve">66 </w:t>
      </w:r>
      <w:r>
        <w:t>(2005), 91–126;</w:t>
      </w:r>
      <w:r w:rsidRPr="00A96BE1">
        <w:rPr>
          <w:lang w:val="en-US"/>
        </w:rPr>
        <w:t xml:space="preserve"> </w:t>
      </w:r>
      <w:r w:rsidRPr="0032504E">
        <w:rPr>
          <w:i/>
          <w:lang w:val="en-US"/>
        </w:rPr>
        <w:t>Religion and Welfare in 21st Century Europe</w:t>
      </w:r>
      <w:r w:rsidRPr="0032504E">
        <w:rPr>
          <w:lang w:val="en-US"/>
        </w:rPr>
        <w:t>, Vol</w:t>
      </w:r>
      <w:r w:rsidR="006C6B8F">
        <w:rPr>
          <w:lang w:val="en-US"/>
        </w:rPr>
        <w:t>.</w:t>
      </w:r>
      <w:r w:rsidRPr="0032504E">
        <w:rPr>
          <w:lang w:val="en-US"/>
        </w:rPr>
        <w:t xml:space="preserve"> 1</w:t>
      </w:r>
      <w:r w:rsidR="00015B16">
        <w:rPr>
          <w:lang w:val="en-US"/>
        </w:rPr>
        <w:t xml:space="preserve"> &amp; 2</w:t>
      </w:r>
      <w:r w:rsidRPr="0032504E">
        <w:rPr>
          <w:lang w:val="en-US"/>
        </w:rPr>
        <w:t xml:space="preserve">, ed. Anders </w:t>
      </w:r>
      <w:proofErr w:type="spellStart"/>
      <w:r w:rsidRPr="0032504E">
        <w:rPr>
          <w:lang w:val="en-US"/>
        </w:rPr>
        <w:t>Bäckström</w:t>
      </w:r>
      <w:proofErr w:type="spellEnd"/>
      <w:r w:rsidR="006C6B8F">
        <w:rPr>
          <w:lang w:val="en-US"/>
        </w:rPr>
        <w:t xml:space="preserve"> &amp; al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Farnham</w:t>
      </w:r>
      <w:proofErr w:type="spellEnd"/>
      <w:r>
        <w:rPr>
          <w:lang w:val="en-US"/>
        </w:rPr>
        <w:t>: Ashgate, 2010</w:t>
      </w:r>
      <w:r w:rsidR="00015B16">
        <w:rPr>
          <w:lang w:val="en-US"/>
        </w:rPr>
        <w:t>–2011</w:t>
      </w:r>
      <w:r>
        <w:rPr>
          <w:lang w:val="en-US"/>
        </w:rPr>
        <w:t>)</w:t>
      </w:r>
      <w:r w:rsidRPr="0032504E">
        <w:rPr>
          <w:lang w:val="en-US"/>
        </w:rPr>
        <w:t>;</w:t>
      </w:r>
      <w:r w:rsidR="006C6B8F">
        <w:rPr>
          <w:lang w:val="en-US"/>
        </w:rPr>
        <w:t xml:space="preserve"> </w:t>
      </w:r>
      <w:r w:rsidR="006C6B8F" w:rsidRPr="00FF2BE4">
        <w:rPr>
          <w:i/>
          <w:iCs/>
          <w:lang w:val="en-US"/>
        </w:rPr>
        <w:t>Journal of Church and State</w:t>
      </w:r>
      <w:r w:rsidR="006C6B8F">
        <w:rPr>
          <w:lang w:val="en-US"/>
        </w:rPr>
        <w:t xml:space="preserve"> 56:1 (2014) Special issue: Lutheranism and the Nordic Welfare State, ed. by </w:t>
      </w:r>
      <w:proofErr w:type="spellStart"/>
      <w:r w:rsidR="006C6B8F">
        <w:rPr>
          <w:lang w:val="en-US"/>
        </w:rPr>
        <w:t>Ingela</w:t>
      </w:r>
      <w:proofErr w:type="spellEnd"/>
      <w:r w:rsidR="006C6B8F">
        <w:rPr>
          <w:lang w:val="en-US"/>
        </w:rPr>
        <w:t xml:space="preserve"> K. Naumann &amp; Pirjo Markkola.</w:t>
      </w:r>
    </w:p>
  </w:footnote>
  <w:footnote w:id="2">
    <w:p w14:paraId="20D8B3A7" w14:textId="37455610" w:rsidR="003C3BFB" w:rsidRPr="003C3BFB" w:rsidRDefault="003C3B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C3BFB">
        <w:rPr>
          <w:lang w:val="en-US"/>
        </w:rPr>
        <w:t xml:space="preserve">e.g. </w:t>
      </w:r>
      <w:r w:rsidR="003D2775">
        <w:rPr>
          <w:lang w:val="en-US"/>
        </w:rPr>
        <w:t xml:space="preserve">Catherine M. </w:t>
      </w:r>
      <w:proofErr w:type="spellStart"/>
      <w:r w:rsidR="003D2775">
        <w:rPr>
          <w:lang w:val="en-US"/>
        </w:rPr>
        <w:t>Prelinger</w:t>
      </w:r>
      <w:proofErr w:type="spellEnd"/>
      <w:r w:rsidR="003D2775">
        <w:rPr>
          <w:lang w:val="en-US"/>
        </w:rPr>
        <w:t xml:space="preserve">, </w:t>
      </w:r>
      <w:r w:rsidR="003D2775" w:rsidRPr="003D2775">
        <w:rPr>
          <w:i/>
          <w:iCs/>
          <w:lang w:val="en-US"/>
        </w:rPr>
        <w:t>Charity, Challenge, and Change. Religious dimensions of the mid-nineteenth-century women’s movement in Germany</w:t>
      </w:r>
      <w:r w:rsidR="003D2775">
        <w:rPr>
          <w:lang w:val="en-US"/>
        </w:rPr>
        <w:t xml:space="preserve"> (New York: Greenwood Press, 1987); </w:t>
      </w:r>
      <w:r w:rsidRPr="004562E4">
        <w:rPr>
          <w:i/>
          <w:iCs/>
          <w:lang w:val="en-US"/>
        </w:rPr>
        <w:t>Women, Gender and Religious Cultures in Britain, 1800–1940</w:t>
      </w:r>
      <w:r>
        <w:rPr>
          <w:lang w:val="en-US"/>
        </w:rPr>
        <w:t xml:space="preserve">, ed. by Sue Morgan &amp; Jacqueline de Vries (London &amp; New York: Routledge, </w:t>
      </w:r>
      <w:r w:rsidR="004562E4">
        <w:rPr>
          <w:lang w:val="en-US"/>
        </w:rPr>
        <w:t>2010);</w:t>
      </w:r>
      <w:r w:rsidR="0006712B">
        <w:rPr>
          <w:lang w:val="en-US"/>
        </w:rPr>
        <w:t xml:space="preserve"> Christine Adams, </w:t>
      </w:r>
      <w:r w:rsidR="0006712B" w:rsidRPr="0006712B">
        <w:rPr>
          <w:i/>
          <w:iCs/>
          <w:lang w:val="en-US"/>
        </w:rPr>
        <w:t>Poverty, Charity, and Motherhood: Maternal Societies in Nineteenth-Century France</w:t>
      </w:r>
      <w:r w:rsidR="0006712B">
        <w:rPr>
          <w:lang w:val="en-US"/>
        </w:rPr>
        <w:t xml:space="preserve"> (Urbana: University of Illinois Press, 2010);</w:t>
      </w:r>
      <w:r w:rsidR="004562E4">
        <w:rPr>
          <w:lang w:val="en-US"/>
        </w:rPr>
        <w:t xml:space="preserve"> </w:t>
      </w:r>
      <w:r w:rsidR="004562E4" w:rsidRPr="004562E4">
        <w:rPr>
          <w:i/>
          <w:iCs/>
          <w:lang w:val="en-US"/>
        </w:rPr>
        <w:t>Deaconesses in Nursing Care. International Transfer of a Female Model of Life and Work in the 19</w:t>
      </w:r>
      <w:r w:rsidR="004562E4" w:rsidRPr="004562E4">
        <w:rPr>
          <w:i/>
          <w:iCs/>
          <w:vertAlign w:val="superscript"/>
          <w:lang w:val="en-US"/>
        </w:rPr>
        <w:t>th</w:t>
      </w:r>
      <w:r w:rsidR="004562E4" w:rsidRPr="004562E4">
        <w:rPr>
          <w:i/>
          <w:iCs/>
          <w:lang w:val="en-US"/>
        </w:rPr>
        <w:t xml:space="preserve"> and 20</w:t>
      </w:r>
      <w:r w:rsidR="004562E4" w:rsidRPr="004562E4">
        <w:rPr>
          <w:i/>
          <w:iCs/>
          <w:vertAlign w:val="superscript"/>
          <w:lang w:val="en-US"/>
        </w:rPr>
        <w:t>th</w:t>
      </w:r>
      <w:r w:rsidR="004562E4" w:rsidRPr="004562E4">
        <w:rPr>
          <w:i/>
          <w:iCs/>
          <w:lang w:val="en-US"/>
        </w:rPr>
        <w:t xml:space="preserve"> Century</w:t>
      </w:r>
      <w:r w:rsidR="004562E4">
        <w:rPr>
          <w:lang w:val="en-US"/>
        </w:rPr>
        <w:t>, ed. by Susanne Kreutzer &amp; Karen Nolte (Stuttgart: Franz Steiner Verlag, 2016)</w:t>
      </w:r>
      <w:r w:rsidR="00BB2ACF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48"/>
    <w:rsid w:val="00015B16"/>
    <w:rsid w:val="0006712B"/>
    <w:rsid w:val="00091FC3"/>
    <w:rsid w:val="001041D4"/>
    <w:rsid w:val="001A219C"/>
    <w:rsid w:val="002073B8"/>
    <w:rsid w:val="002F0AD6"/>
    <w:rsid w:val="003C3BFB"/>
    <w:rsid w:val="003D2775"/>
    <w:rsid w:val="00443152"/>
    <w:rsid w:val="004562E4"/>
    <w:rsid w:val="00457A68"/>
    <w:rsid w:val="004B5378"/>
    <w:rsid w:val="004F7409"/>
    <w:rsid w:val="006C6B8F"/>
    <w:rsid w:val="0076493D"/>
    <w:rsid w:val="00807B12"/>
    <w:rsid w:val="00857A8B"/>
    <w:rsid w:val="008F40E0"/>
    <w:rsid w:val="009A7C6C"/>
    <w:rsid w:val="00A60563"/>
    <w:rsid w:val="00AF2E48"/>
    <w:rsid w:val="00B81710"/>
    <w:rsid w:val="00BB2ACF"/>
    <w:rsid w:val="00BB39D1"/>
    <w:rsid w:val="00BF313C"/>
    <w:rsid w:val="00CE7369"/>
    <w:rsid w:val="00D60261"/>
    <w:rsid w:val="00FD5A8D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665B"/>
  <w15:chartTrackingRefBased/>
  <w15:docId w15:val="{9A1AF3D9-FE11-457A-8DB6-A58DBC6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4F74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F7409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4F740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D5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gruziel@eu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rjo.markkola@tun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DD7F-D136-4D73-BAB5-ACE46D4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Markkola (TAU)</dc:creator>
  <cp:keywords/>
  <dc:description/>
  <cp:lastModifiedBy>Pirjo Markkola (TAU)</cp:lastModifiedBy>
  <cp:revision>3</cp:revision>
  <dcterms:created xsi:type="dcterms:W3CDTF">2020-11-11T14:49:00Z</dcterms:created>
  <dcterms:modified xsi:type="dcterms:W3CDTF">2020-11-12T06:31:00Z</dcterms:modified>
</cp:coreProperties>
</file>